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D150B0">
        <w:rPr>
          <w:rFonts w:ascii="Palatino Linotype" w:hAnsi="Palatino Linotype" w:cs="Arial"/>
          <w:b/>
          <w:sz w:val="24"/>
          <w:szCs w:val="24"/>
        </w:rPr>
        <w:t>03974</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E305E3" w:rsidP="00E305E3">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D66E5F" w:rsidRDefault="00D66E5F" w:rsidP="00EA2C08">
      <w:pPr>
        <w:spacing w:after="0" w:line="336" w:lineRule="auto"/>
        <w:jc w:val="both"/>
        <w:rPr>
          <w:rFonts w:ascii="Palatino Linotype" w:hAnsi="Palatino Linotype" w:cs="Arial"/>
          <w:sz w:val="24"/>
          <w:szCs w:val="24"/>
        </w:rPr>
      </w:pPr>
    </w:p>
    <w:p w:rsidR="00076792" w:rsidRDefault="000E41D7" w:rsidP="00EA2C08">
      <w:pPr>
        <w:spacing w:after="0" w:line="336" w:lineRule="auto"/>
        <w:jc w:val="both"/>
        <w:rPr>
          <w:rFonts w:ascii="Palatino Linotype" w:hAnsi="Palatino Linotype" w:cs="Arial"/>
          <w:sz w:val="24"/>
          <w:szCs w:val="24"/>
        </w:rPr>
      </w:pPr>
      <w:r>
        <w:rPr>
          <w:rFonts w:ascii="Palatino Linotype" w:hAnsi="Palatino Linotype" w:cs="Arial"/>
          <w:sz w:val="24"/>
          <w:szCs w:val="24"/>
        </w:rPr>
        <w:t>Las solicitudes de acceso a la información que requieran de la entrega de un gran volumen de información, el Órgano Garante deberá considerar realizar el cambio de modalidad de entrega de la información tomando en consideración las capacidades técnicas de la propia plataforma SAIMEX a fin de procurar la entrega mayormente eficaz y eficiente de la información previendo cualquier contratiempo y evitar mayores dilaciones para el particular.</w:t>
      </w:r>
    </w:p>
    <w:p w:rsidR="00D66E5F" w:rsidRDefault="00D66E5F" w:rsidP="00EA2C08">
      <w:pPr>
        <w:spacing w:after="0" w:line="336" w:lineRule="auto"/>
        <w:jc w:val="both"/>
        <w:rPr>
          <w:rFonts w:ascii="Palatino Linotype" w:hAnsi="Palatino Linotype" w:cs="Arial"/>
          <w:sz w:val="24"/>
          <w:szCs w:val="24"/>
        </w:rPr>
      </w:pPr>
    </w:p>
    <w:p w:rsidR="006800C8" w:rsidRDefault="006800C8" w:rsidP="00EA2C08">
      <w:pPr>
        <w:spacing w:after="0" w:line="336" w:lineRule="auto"/>
        <w:jc w:val="both"/>
        <w:rPr>
          <w:rFonts w:ascii="Palatino Linotype" w:hAnsi="Palatino Linotype" w:cs="Arial"/>
          <w:sz w:val="24"/>
          <w:szCs w:val="24"/>
        </w:rPr>
      </w:pPr>
    </w:p>
    <w:p w:rsidR="0046491C" w:rsidRPr="0001046D" w:rsidRDefault="00EA2C08" w:rsidP="00E305E3">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0E41D7"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535250100" w:history="1">
            <w:r w:rsidR="000E41D7" w:rsidRPr="006315B4">
              <w:rPr>
                <w:rStyle w:val="Hipervnculo"/>
                <w:rFonts w:ascii="Palatino Linotype" w:hAnsi="Palatino Linotype"/>
                <w:b/>
                <w:noProof/>
              </w:rPr>
              <w:t>I.</w:t>
            </w:r>
            <w:r w:rsidR="000E41D7">
              <w:rPr>
                <w:rFonts w:eastAsiaTheme="minorEastAsia"/>
                <w:noProof/>
                <w:lang w:eastAsia="es-MX"/>
              </w:rPr>
              <w:tab/>
            </w:r>
            <w:r w:rsidR="000E41D7" w:rsidRPr="006315B4">
              <w:rPr>
                <w:rStyle w:val="Hipervnculo"/>
                <w:rFonts w:ascii="Palatino Linotype" w:hAnsi="Palatino Linotype"/>
                <w:b/>
                <w:noProof/>
              </w:rPr>
              <w:t>Consideraciones Generales.</w:t>
            </w:r>
            <w:r w:rsidR="000E41D7">
              <w:rPr>
                <w:noProof/>
                <w:webHidden/>
              </w:rPr>
              <w:tab/>
            </w:r>
            <w:r w:rsidR="000E41D7">
              <w:rPr>
                <w:noProof/>
                <w:webHidden/>
              </w:rPr>
              <w:fldChar w:fldCharType="begin"/>
            </w:r>
            <w:r w:rsidR="000E41D7">
              <w:rPr>
                <w:noProof/>
                <w:webHidden/>
              </w:rPr>
              <w:instrText xml:space="preserve"> PAGEREF _Toc535250100 \h </w:instrText>
            </w:r>
            <w:r w:rsidR="000E41D7">
              <w:rPr>
                <w:noProof/>
                <w:webHidden/>
              </w:rPr>
            </w:r>
            <w:r w:rsidR="000E41D7">
              <w:rPr>
                <w:noProof/>
                <w:webHidden/>
              </w:rPr>
              <w:fldChar w:fldCharType="separate"/>
            </w:r>
            <w:r w:rsidR="000E41D7">
              <w:rPr>
                <w:noProof/>
                <w:webHidden/>
              </w:rPr>
              <w:t>2</w:t>
            </w:r>
            <w:r w:rsidR="000E41D7">
              <w:rPr>
                <w:noProof/>
                <w:webHidden/>
              </w:rPr>
              <w:fldChar w:fldCharType="end"/>
            </w:r>
          </w:hyperlink>
        </w:p>
        <w:p w:rsidR="000E41D7" w:rsidRDefault="00460082">
          <w:pPr>
            <w:pStyle w:val="TDC1"/>
            <w:rPr>
              <w:rFonts w:eastAsiaTheme="minorEastAsia"/>
              <w:noProof/>
              <w:lang w:eastAsia="es-MX"/>
            </w:rPr>
          </w:pPr>
          <w:hyperlink w:anchor="_Toc535250101" w:history="1">
            <w:r w:rsidR="000E41D7" w:rsidRPr="006315B4">
              <w:rPr>
                <w:rStyle w:val="Hipervnculo"/>
                <w:rFonts w:ascii="Palatino Linotype" w:hAnsi="Palatino Linotype"/>
                <w:b/>
                <w:noProof/>
              </w:rPr>
              <w:t>II.</w:t>
            </w:r>
            <w:r w:rsidR="000E41D7">
              <w:rPr>
                <w:rFonts w:eastAsiaTheme="minorEastAsia"/>
                <w:noProof/>
                <w:lang w:eastAsia="es-MX"/>
              </w:rPr>
              <w:tab/>
            </w:r>
            <w:r w:rsidR="000E41D7" w:rsidRPr="006315B4">
              <w:rPr>
                <w:rStyle w:val="Hipervnculo"/>
                <w:rFonts w:ascii="Palatino Linotype" w:hAnsi="Palatino Linotype"/>
                <w:b/>
                <w:noProof/>
              </w:rPr>
              <w:t>De los requerimientos planteados en el recurso de revisión.</w:t>
            </w:r>
            <w:r w:rsidR="000E41D7">
              <w:rPr>
                <w:noProof/>
                <w:webHidden/>
              </w:rPr>
              <w:tab/>
            </w:r>
            <w:r w:rsidR="000E41D7">
              <w:rPr>
                <w:noProof/>
                <w:webHidden/>
              </w:rPr>
              <w:fldChar w:fldCharType="begin"/>
            </w:r>
            <w:r w:rsidR="000E41D7">
              <w:rPr>
                <w:noProof/>
                <w:webHidden/>
              </w:rPr>
              <w:instrText xml:space="preserve"> PAGEREF _Toc535250101 \h </w:instrText>
            </w:r>
            <w:r w:rsidR="000E41D7">
              <w:rPr>
                <w:noProof/>
                <w:webHidden/>
              </w:rPr>
            </w:r>
            <w:r w:rsidR="000E41D7">
              <w:rPr>
                <w:noProof/>
                <w:webHidden/>
              </w:rPr>
              <w:fldChar w:fldCharType="separate"/>
            </w:r>
            <w:r w:rsidR="000E41D7">
              <w:rPr>
                <w:noProof/>
                <w:webHidden/>
              </w:rPr>
              <w:t>4</w:t>
            </w:r>
            <w:r w:rsidR="000E41D7">
              <w:rPr>
                <w:noProof/>
                <w:webHidden/>
              </w:rPr>
              <w:fldChar w:fldCharType="end"/>
            </w:r>
          </w:hyperlink>
        </w:p>
        <w:p w:rsidR="000E41D7" w:rsidRDefault="00460082">
          <w:pPr>
            <w:pStyle w:val="TDC1"/>
            <w:rPr>
              <w:rFonts w:eastAsiaTheme="minorEastAsia"/>
              <w:noProof/>
              <w:lang w:eastAsia="es-MX"/>
            </w:rPr>
          </w:pPr>
          <w:hyperlink w:anchor="_Toc535250102" w:history="1">
            <w:r w:rsidR="000E41D7" w:rsidRPr="006315B4">
              <w:rPr>
                <w:rStyle w:val="Hipervnculo"/>
                <w:rFonts w:ascii="Palatino Linotype" w:hAnsi="Palatino Linotype"/>
                <w:b/>
                <w:noProof/>
              </w:rPr>
              <w:t>III.</w:t>
            </w:r>
            <w:r w:rsidR="000E41D7">
              <w:rPr>
                <w:rFonts w:eastAsiaTheme="minorEastAsia"/>
                <w:noProof/>
                <w:lang w:eastAsia="es-MX"/>
              </w:rPr>
              <w:tab/>
            </w:r>
            <w:r w:rsidR="000E41D7" w:rsidRPr="006315B4">
              <w:rPr>
                <w:rStyle w:val="Hipervnculo"/>
                <w:rFonts w:ascii="Palatino Linotype" w:hAnsi="Palatino Linotype"/>
                <w:b/>
                <w:noProof/>
              </w:rPr>
              <w:t>De la respuesta otorgada por el SUJETO OBLIGADO.</w:t>
            </w:r>
            <w:r w:rsidR="000E41D7">
              <w:rPr>
                <w:noProof/>
                <w:webHidden/>
              </w:rPr>
              <w:tab/>
            </w:r>
            <w:r w:rsidR="000E41D7">
              <w:rPr>
                <w:noProof/>
                <w:webHidden/>
              </w:rPr>
              <w:fldChar w:fldCharType="begin"/>
            </w:r>
            <w:r w:rsidR="000E41D7">
              <w:rPr>
                <w:noProof/>
                <w:webHidden/>
              </w:rPr>
              <w:instrText xml:space="preserve"> PAGEREF _Toc535250102 \h </w:instrText>
            </w:r>
            <w:r w:rsidR="000E41D7">
              <w:rPr>
                <w:noProof/>
                <w:webHidden/>
              </w:rPr>
            </w:r>
            <w:r w:rsidR="000E41D7">
              <w:rPr>
                <w:noProof/>
                <w:webHidden/>
              </w:rPr>
              <w:fldChar w:fldCharType="separate"/>
            </w:r>
            <w:r w:rsidR="000E41D7">
              <w:rPr>
                <w:noProof/>
                <w:webHidden/>
              </w:rPr>
              <w:t>7</w:t>
            </w:r>
            <w:r w:rsidR="000E41D7">
              <w:rPr>
                <w:noProof/>
                <w:webHidden/>
              </w:rPr>
              <w:fldChar w:fldCharType="end"/>
            </w:r>
          </w:hyperlink>
        </w:p>
        <w:p w:rsidR="00A00F35" w:rsidRDefault="0046491C" w:rsidP="00E34F08">
          <w:pPr>
            <w:spacing w:line="360" w:lineRule="auto"/>
            <w:rPr>
              <w:rFonts w:ascii="Palatino Linotype" w:hAnsi="Palatino Linotype"/>
              <w:b/>
              <w:bCs/>
              <w:lang w:val="es-ES"/>
            </w:rPr>
          </w:pPr>
          <w:r w:rsidRPr="0001046D">
            <w:rPr>
              <w:rFonts w:ascii="Palatino Linotype" w:hAnsi="Palatino Linotype"/>
              <w:b/>
              <w:bCs/>
              <w:lang w:val="es-ES"/>
            </w:rPr>
            <w:fldChar w:fldCharType="end"/>
          </w:r>
        </w:p>
        <w:p w:rsidR="00A00F35" w:rsidRDefault="00A00F35" w:rsidP="00E34F08">
          <w:pPr>
            <w:spacing w:line="360" w:lineRule="auto"/>
            <w:rPr>
              <w:rFonts w:ascii="Palatino Linotype" w:hAnsi="Palatino Linotype"/>
              <w:b/>
              <w:bCs/>
              <w:lang w:val="es-ES"/>
            </w:rPr>
          </w:pPr>
        </w:p>
        <w:p w:rsidR="0046491C" w:rsidRPr="0001046D" w:rsidRDefault="00460082" w:rsidP="00E34F08">
          <w:pPr>
            <w:spacing w:line="360" w:lineRule="auto"/>
            <w:rPr>
              <w:rFonts w:ascii="Palatino Linotype" w:hAnsi="Palatino Linotype"/>
            </w:rPr>
          </w:pP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5250100"/>
      <w:r w:rsidRPr="0001046D">
        <w:rPr>
          <w:rFonts w:ascii="Palatino Linotype" w:hAnsi="Palatino Linotype"/>
          <w:b/>
          <w:color w:val="auto"/>
          <w:sz w:val="24"/>
          <w:szCs w:val="24"/>
        </w:rPr>
        <w:lastRenderedPageBreak/>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581A68">
        <w:rPr>
          <w:rFonts w:ascii="Palatino Linotype" w:hAnsi="Palatino Linotype" w:cs="Arial"/>
          <w:sz w:val="24"/>
          <w:szCs w:val="24"/>
        </w:rPr>
        <w:t>Primera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 xml:space="preserve">rdinaria, celebrada el </w:t>
      </w:r>
      <w:r w:rsidR="00581A68">
        <w:rPr>
          <w:rFonts w:ascii="Palatino Linotype" w:hAnsi="Palatino Linotype" w:cs="Arial"/>
          <w:sz w:val="24"/>
          <w:szCs w:val="24"/>
        </w:rPr>
        <w:t>nueve</w:t>
      </w:r>
      <w:r w:rsidRPr="00E34F08">
        <w:rPr>
          <w:rFonts w:ascii="Palatino Linotype" w:hAnsi="Palatino Linotype" w:cs="Arial"/>
          <w:sz w:val="24"/>
          <w:szCs w:val="24"/>
        </w:rPr>
        <w:t xml:space="preserve"> (</w:t>
      </w:r>
      <w:r w:rsidR="00581A68">
        <w:rPr>
          <w:rFonts w:ascii="Palatino Linotype" w:hAnsi="Palatino Linotype" w:cs="Arial"/>
          <w:sz w:val="24"/>
          <w:szCs w:val="24"/>
        </w:rPr>
        <w:t>09</w:t>
      </w:r>
      <w:r w:rsidR="00225026" w:rsidRPr="00E34F08">
        <w:rPr>
          <w:rFonts w:ascii="Palatino Linotype" w:hAnsi="Palatino Linotype" w:cs="Arial"/>
          <w:sz w:val="24"/>
          <w:szCs w:val="24"/>
        </w:rPr>
        <w:t xml:space="preserve">) de </w:t>
      </w:r>
      <w:r w:rsidR="00581A68">
        <w:rPr>
          <w:rFonts w:ascii="Palatino Linotype" w:hAnsi="Palatino Linotype" w:cs="Arial"/>
          <w:sz w:val="24"/>
          <w:szCs w:val="24"/>
        </w:rPr>
        <w:t>enero</w:t>
      </w:r>
      <w:r w:rsidR="0076241F">
        <w:rPr>
          <w:rFonts w:ascii="Palatino Linotype" w:hAnsi="Palatino Linotype" w:cs="Arial"/>
          <w:sz w:val="24"/>
          <w:szCs w:val="24"/>
        </w:rPr>
        <w:t xml:space="preserve"> de dos mil </w:t>
      </w:r>
      <w:r w:rsidR="00581A68">
        <w:rPr>
          <w:rFonts w:ascii="Palatino Linotype" w:hAnsi="Palatino Linotype" w:cs="Arial"/>
          <w:sz w:val="24"/>
          <w:szCs w:val="24"/>
        </w:rPr>
        <w:t>diecinueve</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w:t>
      </w:r>
      <w:r w:rsidR="00D150B0">
        <w:rPr>
          <w:rFonts w:ascii="Palatino Linotype" w:hAnsi="Palatino Linotype" w:cs="Arial"/>
          <w:b/>
          <w:sz w:val="24"/>
          <w:szCs w:val="24"/>
        </w:rPr>
        <w:t>03974</w:t>
      </w:r>
      <w:r w:rsidR="00581A68">
        <w:rPr>
          <w:rFonts w:ascii="Palatino Linotype" w:hAnsi="Palatino Linotype" w:cs="Arial"/>
          <w:b/>
          <w:sz w:val="24"/>
          <w:szCs w:val="24"/>
        </w:rPr>
        <w:t>/INFOEM/IP/RR/2018</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00581A68" w:rsidRPr="00E34F08">
        <w:rPr>
          <w:rFonts w:ascii="Palatino Linotype" w:hAnsi="Palatino Linotype" w:cs="Arial"/>
          <w:sz w:val="24"/>
          <w:szCs w:val="24"/>
        </w:rPr>
        <w:t xml:space="preserve">promovido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el </w:t>
      </w:r>
      <w:r w:rsidR="00FC16D9">
        <w:rPr>
          <w:rFonts w:ascii="Palatino Linotype" w:eastAsia="Calibri" w:hAnsi="Palatino Linotype" w:cs="Times New Roman"/>
          <w:b/>
          <w:sz w:val="24"/>
          <w:szCs w:val="24"/>
          <w:lang w:val="es-ES" w:eastAsia="es-ES"/>
        </w:rPr>
        <w:t xml:space="preserve">Ayuntamiento de </w:t>
      </w:r>
      <w:proofErr w:type="spellStart"/>
      <w:r w:rsidR="00D150B0">
        <w:rPr>
          <w:rFonts w:ascii="Palatino Linotype" w:eastAsia="Calibri" w:hAnsi="Palatino Linotype" w:cs="Times New Roman"/>
          <w:b/>
          <w:sz w:val="24"/>
          <w:szCs w:val="24"/>
          <w:lang w:val="es-ES" w:eastAsia="es-ES"/>
        </w:rPr>
        <w:t>Mexicaltzingo</w:t>
      </w:r>
      <w:proofErr w:type="spellEnd"/>
      <w:r w:rsidR="00581A68">
        <w:rPr>
          <w:rFonts w:ascii="Palatino Linotype" w:hAnsi="Palatino Linotype" w:cs="Arial"/>
          <w:sz w:val="24"/>
          <w:szCs w:val="24"/>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305E3"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Resolutora </w:t>
      </w:r>
      <w:r w:rsidR="00D150B0">
        <w:rPr>
          <w:rFonts w:ascii="Palatino Linotype" w:hAnsi="Palatino Linotype" w:cs="Arial"/>
          <w:sz w:val="24"/>
          <w:szCs w:val="24"/>
        </w:rPr>
        <w:t>concluyó</w:t>
      </w:r>
      <w:r>
        <w:rPr>
          <w:rFonts w:ascii="Palatino Linotype" w:hAnsi="Palatino Linotype" w:cs="Arial"/>
          <w:sz w:val="24"/>
          <w:szCs w:val="24"/>
        </w:rPr>
        <w:t xml:space="preserve"> que resultaban </w:t>
      </w:r>
      <w:r w:rsidR="0046491C" w:rsidRPr="0001046D">
        <w:rPr>
          <w:rFonts w:ascii="Palatino Linotype" w:hAnsi="Palatino Linotype" w:cs="Arial"/>
          <w:sz w:val="24"/>
          <w:szCs w:val="24"/>
        </w:rPr>
        <w:t>fundad</w:t>
      </w:r>
      <w:r w:rsidR="00E305E3">
        <w:rPr>
          <w:rFonts w:ascii="Palatino Linotype" w:hAnsi="Palatino Linotype" w:cs="Arial"/>
          <w:sz w:val="24"/>
          <w:szCs w:val="24"/>
        </w:rPr>
        <w:t>a</w:t>
      </w:r>
      <w:r w:rsidR="0046491C" w:rsidRPr="0001046D">
        <w:rPr>
          <w:rFonts w:ascii="Palatino Linotype" w:hAnsi="Palatino Linotype" w:cs="Arial"/>
          <w:sz w:val="24"/>
          <w:szCs w:val="24"/>
        </w:rPr>
        <w:t xml:space="preserve">s </w:t>
      </w:r>
      <w:r w:rsidR="0000525F" w:rsidRPr="0001046D">
        <w:rPr>
          <w:rFonts w:ascii="Palatino Linotype" w:hAnsi="Palatino Linotype" w:cs="Arial"/>
          <w:sz w:val="24"/>
          <w:szCs w:val="24"/>
        </w:rPr>
        <w:t>l</w:t>
      </w:r>
      <w:r w:rsidR="006E1859">
        <w:rPr>
          <w:rFonts w:ascii="Palatino Linotype" w:hAnsi="Palatino Linotype" w:cs="Arial"/>
          <w:sz w:val="24"/>
          <w:szCs w:val="24"/>
        </w:rPr>
        <w:t>as razones o</w:t>
      </w:r>
      <w:r w:rsidR="0046491C"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w:t>
      </w:r>
      <w:r>
        <w:rPr>
          <w:rFonts w:ascii="Palatino Linotype" w:hAnsi="Palatino Linotype" w:cs="Arial"/>
          <w:sz w:val="24"/>
          <w:szCs w:val="24"/>
        </w:rPr>
        <w:t>arguyó</w:t>
      </w:r>
      <w:r w:rsidR="0000525F" w:rsidRPr="0001046D">
        <w:rPr>
          <w:rFonts w:ascii="Palatino Linotype" w:hAnsi="Palatino Linotype" w:cs="Arial"/>
          <w:sz w:val="24"/>
          <w:szCs w:val="24"/>
        </w:rPr>
        <w:t xml:space="preserve"> </w:t>
      </w:r>
      <w:r w:rsidR="00D150B0">
        <w:rPr>
          <w:rFonts w:ascii="Palatino Linotype" w:hAnsi="Palatino Linotype" w:cs="Arial"/>
          <w:sz w:val="24"/>
          <w:szCs w:val="24"/>
        </w:rPr>
        <w:t>el</w:t>
      </w:r>
      <w:r w:rsidR="00E90EB5" w:rsidRPr="0001046D">
        <w:rPr>
          <w:rFonts w:ascii="Palatino Linotype" w:hAnsi="Palatino Linotype" w:cs="Arial"/>
          <w:b/>
          <w:sz w:val="24"/>
          <w:szCs w:val="24"/>
        </w:rPr>
        <w:t xml:space="preserve"> </w:t>
      </w:r>
      <w:r w:rsidRPr="008E4128">
        <w:rPr>
          <w:rFonts w:ascii="Palatino Linotype" w:hAnsi="Palatino Linotype" w:cs="Arial"/>
          <w:b/>
          <w:sz w:val="24"/>
          <w:szCs w:val="24"/>
        </w:rPr>
        <w:t>RECURRENTE</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w:t>
      </w:r>
      <w:r w:rsidR="00E305E3">
        <w:rPr>
          <w:rFonts w:ascii="Palatino Linotype" w:hAnsi="Palatino Linotype" w:cs="Arial"/>
          <w:sz w:val="24"/>
          <w:szCs w:val="24"/>
        </w:rPr>
        <w:t xml:space="preserve"> </w:t>
      </w:r>
      <w:r w:rsidR="00AA49F3" w:rsidRPr="0001046D">
        <w:rPr>
          <w:rFonts w:ascii="Palatino Linotype" w:hAnsi="Palatino Linotype" w:cs="Arial"/>
          <w:sz w:val="24"/>
          <w:szCs w:val="24"/>
        </w:rPr>
        <w:t>l</w:t>
      </w:r>
      <w:r w:rsidR="00E305E3">
        <w:rPr>
          <w:rFonts w:ascii="Palatino Linotype" w:hAnsi="Palatino Linotype" w:cs="Arial"/>
          <w:sz w:val="24"/>
          <w:szCs w:val="24"/>
        </w:rPr>
        <w:t>os</w:t>
      </w:r>
      <w:r w:rsidR="00AA49F3" w:rsidRPr="0001046D">
        <w:rPr>
          <w:rFonts w:ascii="Palatino Linotype" w:hAnsi="Palatino Linotype" w:cs="Arial"/>
          <w:sz w:val="24"/>
          <w:szCs w:val="24"/>
        </w:rPr>
        <w:t xml:space="preserve"> Considerando</w:t>
      </w:r>
      <w:r w:rsidR="00E305E3">
        <w:rPr>
          <w:rFonts w:ascii="Palatino Linotype" w:hAnsi="Palatino Linotype" w:cs="Arial"/>
          <w:sz w:val="24"/>
          <w:szCs w:val="24"/>
        </w:rPr>
        <w:t>s</w:t>
      </w:r>
      <w:r w:rsidR="00AA49F3" w:rsidRPr="0001046D">
        <w:rPr>
          <w:rFonts w:ascii="Palatino Linotype" w:hAnsi="Palatino Linotype" w:cs="Arial"/>
          <w:sz w:val="24"/>
          <w:szCs w:val="24"/>
        </w:rPr>
        <w:t xml:space="preserve"> </w:t>
      </w:r>
      <w:r w:rsidR="00D150B0">
        <w:rPr>
          <w:rFonts w:ascii="Palatino Linotype" w:hAnsi="Palatino Linotype" w:cs="Arial"/>
          <w:sz w:val="24"/>
          <w:szCs w:val="24"/>
        </w:rPr>
        <w:t>Cuarto</w:t>
      </w:r>
      <w:r w:rsidR="00E305E3">
        <w:rPr>
          <w:rFonts w:ascii="Palatino Linotype" w:hAnsi="Palatino Linotype" w:cs="Arial"/>
          <w:sz w:val="24"/>
          <w:szCs w:val="24"/>
        </w:rPr>
        <w:t xml:space="preserve"> y </w:t>
      </w:r>
      <w:r w:rsidR="00D150B0">
        <w:rPr>
          <w:rFonts w:ascii="Palatino Linotype" w:hAnsi="Palatino Linotype" w:cs="Arial"/>
          <w:sz w:val="24"/>
          <w:szCs w:val="24"/>
        </w:rPr>
        <w:t>Quinto</w:t>
      </w:r>
      <w:r w:rsidR="00BF3534" w:rsidRPr="0001046D">
        <w:rPr>
          <w:rFonts w:ascii="Palatino Linotype" w:hAnsi="Palatino Linotype" w:cs="Arial"/>
          <w:sz w:val="24"/>
          <w:szCs w:val="24"/>
        </w:rPr>
        <w:t xml:space="preserve">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por lo que</w:t>
      </w:r>
      <w:r w:rsidR="00D150B0">
        <w:rPr>
          <w:rFonts w:ascii="Palatino Linotype" w:hAnsi="Palatino Linotype" w:cs="Arial"/>
          <w:sz w:val="24"/>
          <w:szCs w:val="24"/>
        </w:rPr>
        <w:t xml:space="preserve"> determinó</w:t>
      </w:r>
      <w:r w:rsidR="00BF3534" w:rsidRPr="0001046D">
        <w:rPr>
          <w:rFonts w:ascii="Palatino Linotype" w:hAnsi="Palatino Linotype" w:cs="Arial"/>
          <w:sz w:val="24"/>
          <w:szCs w:val="24"/>
        </w:rPr>
        <w:t xml:space="preserve"> </w:t>
      </w:r>
      <w:r w:rsidR="00D150B0">
        <w:rPr>
          <w:rFonts w:ascii="Palatino Linotype" w:hAnsi="Palatino Linotype" w:cs="Arial"/>
          <w:b/>
          <w:sz w:val="24"/>
          <w:szCs w:val="24"/>
        </w:rPr>
        <w:t>MODIFICAR</w:t>
      </w:r>
      <w:r w:rsidR="008E1DCC">
        <w:rPr>
          <w:rFonts w:ascii="Palatino Linotype" w:hAnsi="Palatino Linotype" w:cs="Arial"/>
          <w:sz w:val="24"/>
          <w:szCs w:val="24"/>
        </w:rPr>
        <w:t xml:space="preserve"> l</w:t>
      </w:r>
      <w:r w:rsidR="003837C2">
        <w:rPr>
          <w:rFonts w:ascii="Palatino Linotype" w:hAnsi="Palatino Linotype" w:cs="Arial"/>
          <w:sz w:val="24"/>
          <w:szCs w:val="24"/>
        </w:rPr>
        <w:t xml:space="preserve">a respuesta del </w:t>
      </w:r>
      <w:r w:rsidRPr="008E4128">
        <w:rPr>
          <w:rFonts w:ascii="Palatino Linotype" w:hAnsi="Palatino Linotype" w:cs="Arial"/>
          <w:b/>
          <w:sz w:val="24"/>
          <w:szCs w:val="24"/>
        </w:rPr>
        <w:t>SUJETO OBLIGADO</w:t>
      </w:r>
      <w:r w:rsidR="003837C2">
        <w:rPr>
          <w:rFonts w:ascii="Palatino Linotype" w:hAnsi="Palatino Linotype" w:cs="Arial"/>
          <w:sz w:val="24"/>
          <w:szCs w:val="24"/>
        </w:rPr>
        <w:t xml:space="preserve">, </w:t>
      </w:r>
      <w:r w:rsidR="00E305E3">
        <w:rPr>
          <w:rFonts w:ascii="Palatino Linotype" w:hAnsi="Palatino Linotype" w:cs="Arial"/>
          <w:sz w:val="24"/>
          <w:szCs w:val="24"/>
        </w:rPr>
        <w:t>y ordenándole entregar en versión pública la siguiente información:</w:t>
      </w:r>
    </w:p>
    <w:p w:rsidR="00D150B0" w:rsidRPr="00D150B0" w:rsidRDefault="00D150B0" w:rsidP="00D150B0">
      <w:pPr>
        <w:spacing w:before="240" w:after="240" w:line="360" w:lineRule="auto"/>
        <w:ind w:leftChars="257" w:left="565" w:rightChars="151" w:right="332"/>
        <w:jc w:val="both"/>
        <w:rPr>
          <w:rFonts w:ascii="Palatino Linotype" w:hAnsi="Palatino Linotype" w:cs="Arial"/>
          <w:i/>
        </w:rPr>
      </w:pPr>
      <w:r>
        <w:rPr>
          <w:rFonts w:ascii="Palatino Linotype" w:eastAsia="Palatino Linotype" w:hAnsi="Palatino Linotype" w:cs="Palatino Linotype"/>
          <w:i/>
        </w:rPr>
        <w:t>“</w:t>
      </w:r>
      <w:r w:rsidRPr="00D150B0">
        <w:rPr>
          <w:rFonts w:ascii="Palatino Linotype" w:eastAsia="Palatino Linotype" w:hAnsi="Palatino Linotype" w:cs="Palatino Linotype"/>
          <w:i/>
        </w:rPr>
        <w:t xml:space="preserve">Se </w:t>
      </w:r>
      <w:r w:rsidRPr="00D150B0">
        <w:rPr>
          <w:rFonts w:ascii="Palatino Linotype" w:eastAsia="Palatino Linotype" w:hAnsi="Palatino Linotype" w:cs="Palatino Linotype"/>
          <w:b/>
          <w:i/>
        </w:rPr>
        <w:t xml:space="preserve">Ordena </w:t>
      </w:r>
      <w:r w:rsidRPr="00D150B0">
        <w:rPr>
          <w:rFonts w:ascii="Palatino Linotype" w:eastAsia="Palatino Linotype" w:hAnsi="Palatino Linotype" w:cs="Palatino Linotype"/>
          <w:i/>
        </w:rPr>
        <w:t xml:space="preserve">al Sujeto Obligado, a que en términos del considerando </w:t>
      </w:r>
      <w:r w:rsidRPr="00D150B0">
        <w:rPr>
          <w:rFonts w:ascii="Palatino Linotype" w:eastAsia="Palatino Linotype" w:hAnsi="Palatino Linotype" w:cs="Palatino Linotype"/>
          <w:b/>
          <w:i/>
        </w:rPr>
        <w:t xml:space="preserve">Cuarto </w:t>
      </w:r>
      <w:r w:rsidRPr="00D150B0">
        <w:rPr>
          <w:rFonts w:ascii="Palatino Linotype" w:eastAsia="Palatino Linotype" w:hAnsi="Palatino Linotype" w:cs="Palatino Linotype"/>
          <w:i/>
        </w:rPr>
        <w:t xml:space="preserve">y </w:t>
      </w:r>
      <w:r w:rsidRPr="00D150B0">
        <w:rPr>
          <w:rFonts w:ascii="Palatino Linotype" w:eastAsia="Palatino Linotype" w:hAnsi="Palatino Linotype" w:cs="Palatino Linotype"/>
          <w:b/>
          <w:i/>
        </w:rPr>
        <w:t xml:space="preserve">Quinto </w:t>
      </w:r>
      <w:r w:rsidRPr="00D150B0">
        <w:rPr>
          <w:rFonts w:ascii="Palatino Linotype" w:eastAsia="Palatino Linotype" w:hAnsi="Palatino Linotype" w:cs="Palatino Linotype"/>
          <w:i/>
        </w:rPr>
        <w:t xml:space="preserve">de esta resolución, haga entrega al Recurrente a través del SAIMEX y </w:t>
      </w:r>
      <w:r w:rsidRPr="00D150B0">
        <w:rPr>
          <w:rFonts w:ascii="Palatino Linotype" w:hAnsi="Palatino Linotype" w:cs="Arial"/>
          <w:i/>
        </w:rPr>
        <w:t xml:space="preserve">del correo electrónico proporcionado por el particular, </w:t>
      </w:r>
      <w:r w:rsidRPr="00D150B0">
        <w:rPr>
          <w:rFonts w:ascii="Palatino Linotype" w:eastAsia="Palatino Linotype" w:hAnsi="Palatino Linotype" w:cs="Palatino Linotype"/>
          <w:i/>
        </w:rPr>
        <w:t>en versión pública de ser procedente, la información prevista en el artículo 92, fracciones II, VIII, X, XII, XXV, XXVI, XXVIII, XXX, XXXV, XXXVIII, XL, XLVII y del artículo 94, fracción I, inciso b), d) y f), de la Ley de Transparencia y Acceso a la Información Pública del Estado de México y Municipios, del periodo comprendido del cinco de septiembre del dos mil diecisiete al cinco de septiembre del dos mil dieciocho</w:t>
      </w:r>
      <w:r w:rsidRPr="00D150B0">
        <w:rPr>
          <w:rFonts w:ascii="Palatino Linotype" w:hAnsi="Palatino Linotype"/>
          <w:i/>
        </w:rPr>
        <w:t>,</w:t>
      </w:r>
      <w:r w:rsidRPr="00D150B0">
        <w:rPr>
          <w:rFonts w:ascii="Palatino Linotype" w:hAnsi="Palatino Linotype" w:cs="Arial"/>
          <w:i/>
        </w:rPr>
        <w:t xml:space="preserve"> siguiente:</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color w:val="000000"/>
        </w:rPr>
      </w:pPr>
      <w:r w:rsidRPr="00D150B0">
        <w:rPr>
          <w:rFonts w:ascii="Palatino Linotype" w:eastAsia="Palatino Linotype" w:hAnsi="Palatino Linotype" w:cs="Palatino Linotype"/>
          <w:i/>
          <w:color w:val="000000"/>
        </w:rPr>
        <w:lastRenderedPageBreak/>
        <w:t>Su estructura orgánica completa.</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color w:val="000000"/>
        </w:rPr>
      </w:pPr>
      <w:r w:rsidRPr="00D150B0">
        <w:rPr>
          <w:rFonts w:ascii="Palatino Linotype" w:eastAsia="Palatino Linotype" w:hAnsi="Palatino Linotype" w:cs="Palatino Linotype"/>
          <w:i/>
          <w:color w:val="000000"/>
        </w:rPr>
        <w:t>La remuneración bruta y neta de todos los servidores públicos.</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color w:val="000000"/>
        </w:rPr>
      </w:pPr>
      <w:r w:rsidRPr="00D150B0">
        <w:rPr>
          <w:rFonts w:ascii="Palatino Linotype" w:eastAsia="Palatino Linotype" w:hAnsi="Palatino Linotype" w:cs="Palatino Linotype"/>
          <w:i/>
          <w:color w:val="000000"/>
        </w:rPr>
        <w:t>El número total de plazas, de personal de base y de confianza.</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color w:val="000000"/>
        </w:rPr>
      </w:pPr>
      <w:r w:rsidRPr="00D150B0">
        <w:rPr>
          <w:rFonts w:ascii="Palatino Linotype" w:eastAsia="Palatino Linotype" w:hAnsi="Palatino Linotype" w:cs="Palatino Linotype"/>
          <w:i/>
          <w:color w:val="000000"/>
        </w:rPr>
        <w:t>El perfil de los puestos de los servidores públicos.</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color w:val="000000"/>
        </w:rPr>
      </w:pPr>
      <w:r w:rsidRPr="00D150B0">
        <w:rPr>
          <w:rFonts w:ascii="Palatino Linotype" w:eastAsia="Palatino Linotype" w:hAnsi="Palatino Linotype" w:cs="Palatino Linotype"/>
          <w:i/>
          <w:color w:val="000000"/>
        </w:rPr>
        <w:t>Los informes del ejercicio trimestral del gasto.</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color w:val="000000"/>
        </w:rPr>
      </w:pPr>
      <w:r w:rsidRPr="00D150B0">
        <w:rPr>
          <w:rFonts w:ascii="Palatino Linotype" w:eastAsia="Palatino Linotype" w:hAnsi="Palatino Linotype" w:cs="Palatino Linotype"/>
          <w:i/>
          <w:color w:val="000000"/>
        </w:rPr>
        <w:t>La deuda pública, datos financieros contratados, los movimientos efectuados en los que se adviertan los montos, plazo, tasas de interés y garantía.</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color w:val="000000"/>
        </w:rPr>
      </w:pPr>
      <w:r w:rsidRPr="00D150B0">
        <w:rPr>
          <w:rFonts w:ascii="Palatino Linotype" w:eastAsia="Palatino Linotype" w:hAnsi="Palatino Linotype" w:cs="Palatino Linotype"/>
          <w:i/>
          <w:color w:val="000000"/>
        </w:rPr>
        <w:t>Los informes de resultados de las auditorías al ejercicio presupuestal realizada por el Sujeto Obligado y las aclaraciones correspondientes.</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color w:val="000000"/>
        </w:rPr>
      </w:pPr>
      <w:r w:rsidRPr="00D150B0">
        <w:rPr>
          <w:rFonts w:ascii="Palatino Linotype" w:eastAsia="Palatino Linotype" w:hAnsi="Palatino Linotype" w:cs="Palatino Linotype"/>
          <w:i/>
          <w:color w:val="000000"/>
        </w:rPr>
        <w:t>Los resultados de la dictaminación a los estados financieros.</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color w:val="000000"/>
        </w:rPr>
      </w:pPr>
      <w:r w:rsidRPr="00D150B0">
        <w:rPr>
          <w:rFonts w:ascii="Palatino Linotype" w:eastAsia="Palatino Linotype" w:hAnsi="Palatino Linotype" w:cs="Palatino Linotype"/>
          <w:i/>
          <w:color w:val="000000"/>
        </w:rPr>
        <w:t>Los informes de los avances programáticos o presupuestales, balances y estado financiero.</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rPr>
      </w:pPr>
      <w:r w:rsidRPr="00D150B0">
        <w:rPr>
          <w:rFonts w:ascii="Palatino Linotype" w:eastAsia="Palatino Linotype" w:hAnsi="Palatino Linotype" w:cs="Palatino Linotype"/>
          <w:i/>
        </w:rPr>
        <w:t>Los ingresos recibidos y el destino de los mismos.</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rPr>
      </w:pPr>
      <w:r w:rsidRPr="00D150B0">
        <w:rPr>
          <w:rFonts w:ascii="Palatino Linotype" w:eastAsia="Palatino Linotype" w:hAnsi="Palatino Linotype" w:cs="Palatino Linotype"/>
          <w:i/>
        </w:rPr>
        <w:t>Las fórmulas de distribución de los recursos otorgados.</w:t>
      </w:r>
    </w:p>
    <w:p w:rsidR="00D150B0" w:rsidRPr="00D150B0" w:rsidRDefault="00D150B0" w:rsidP="00D150B0">
      <w:pPr>
        <w:numPr>
          <w:ilvl w:val="0"/>
          <w:numId w:val="16"/>
        </w:numPr>
        <w:pBdr>
          <w:top w:val="nil"/>
          <w:left w:val="nil"/>
          <w:bottom w:val="nil"/>
          <w:right w:val="nil"/>
          <w:between w:val="nil"/>
        </w:pBdr>
        <w:spacing w:after="0" w:line="360" w:lineRule="auto"/>
        <w:ind w:leftChars="385" w:left="1274" w:rightChars="151" w:right="332" w:hanging="427"/>
        <w:contextualSpacing/>
        <w:jc w:val="both"/>
        <w:rPr>
          <w:rFonts w:ascii="Palatino Linotype" w:eastAsia="Palatino Linotype" w:hAnsi="Palatino Linotype" w:cs="Palatino Linotype"/>
          <w:i/>
          <w:color w:val="000000"/>
        </w:rPr>
      </w:pPr>
      <w:r w:rsidRPr="00D150B0">
        <w:rPr>
          <w:rFonts w:ascii="Palatino Linotype" w:eastAsia="Palatino Linotype" w:hAnsi="Palatino Linotype" w:cs="Palatino Linotype"/>
          <w:i/>
          <w:color w:val="000000"/>
        </w:rPr>
        <w:t>El plan de desarrollo urbano, ordenamiento territorial, licencias de uso de suelo y licencias de construcción.</w:t>
      </w:r>
    </w:p>
    <w:p w:rsidR="00D150B0" w:rsidRPr="00D150B0" w:rsidRDefault="00D150B0" w:rsidP="00D150B0">
      <w:pPr>
        <w:spacing w:before="240" w:line="360" w:lineRule="auto"/>
        <w:ind w:leftChars="257" w:left="565" w:rightChars="151" w:right="332"/>
        <w:jc w:val="both"/>
        <w:rPr>
          <w:rFonts w:ascii="Palatino Linotype" w:eastAsia="Palatino Linotype" w:hAnsi="Palatino Linotype" w:cs="Palatino Linotype"/>
          <w:i/>
        </w:rPr>
      </w:pPr>
      <w:r w:rsidRPr="00D150B0">
        <w:rPr>
          <w:rFonts w:ascii="Palatino Linotype" w:eastAsia="Palatino Linotype" w:hAnsi="Palatino Linotype" w:cs="Palatino Linotype"/>
          <w:i/>
        </w:rPr>
        <w:t>Así mismos deberá entregar lo siguiente:</w:t>
      </w:r>
    </w:p>
    <w:p w:rsidR="00D150B0" w:rsidRPr="00D150B0" w:rsidRDefault="00D150B0" w:rsidP="00D150B0">
      <w:pPr>
        <w:numPr>
          <w:ilvl w:val="0"/>
          <w:numId w:val="17"/>
        </w:numPr>
        <w:pBdr>
          <w:top w:val="nil"/>
          <w:left w:val="nil"/>
          <w:bottom w:val="nil"/>
          <w:right w:val="nil"/>
          <w:between w:val="nil"/>
        </w:pBdr>
        <w:spacing w:after="0" w:line="360" w:lineRule="auto"/>
        <w:ind w:leftChars="386" w:left="1130" w:rightChars="151" w:right="332" w:hanging="281"/>
        <w:contextualSpacing/>
        <w:jc w:val="both"/>
        <w:rPr>
          <w:rFonts w:ascii="Palatino Linotype" w:eastAsia="Palatino Linotype" w:hAnsi="Palatino Linotype" w:cs="Palatino Linotype"/>
          <w:i/>
        </w:rPr>
      </w:pPr>
      <w:r w:rsidRPr="00D150B0">
        <w:rPr>
          <w:rFonts w:ascii="Palatino Linotype" w:eastAsia="Palatino Linotype" w:hAnsi="Palatino Linotype" w:cs="Palatino Linotype"/>
          <w:i/>
          <w:color w:val="000000"/>
        </w:rPr>
        <w:t>La información financiera de la cuenta pública del primero de enero al cinco de septiembre de año dos mil dieciocho.</w:t>
      </w:r>
    </w:p>
    <w:p w:rsidR="00D150B0" w:rsidRPr="00D150B0" w:rsidRDefault="00D150B0" w:rsidP="00D150B0">
      <w:pPr>
        <w:numPr>
          <w:ilvl w:val="0"/>
          <w:numId w:val="17"/>
        </w:numPr>
        <w:pBdr>
          <w:top w:val="nil"/>
          <w:left w:val="nil"/>
          <w:bottom w:val="nil"/>
          <w:right w:val="nil"/>
          <w:between w:val="nil"/>
        </w:pBdr>
        <w:spacing w:after="0" w:line="360" w:lineRule="auto"/>
        <w:ind w:leftChars="386" w:left="1130" w:rightChars="151" w:right="332" w:hanging="281"/>
        <w:contextualSpacing/>
        <w:jc w:val="both"/>
        <w:rPr>
          <w:rFonts w:ascii="Palatino Linotype" w:eastAsia="Palatino Linotype" w:hAnsi="Palatino Linotype" w:cs="Palatino Linotype"/>
          <w:i/>
        </w:rPr>
      </w:pPr>
      <w:r w:rsidRPr="00D150B0">
        <w:rPr>
          <w:rFonts w:ascii="Palatino Linotype" w:eastAsia="Palatino Linotype" w:hAnsi="Palatino Linotype" w:cs="Palatino Linotype"/>
          <w:i/>
        </w:rPr>
        <w:t>El inventario de bienes muebles e inmuebles en posesión y propiedad del cinco de septiembre al treinta y uno de diciembre del año dos mil diecisiete.</w:t>
      </w:r>
    </w:p>
    <w:p w:rsidR="00D150B0" w:rsidRPr="00D150B0" w:rsidRDefault="00D150B0" w:rsidP="00D150B0">
      <w:pPr>
        <w:numPr>
          <w:ilvl w:val="0"/>
          <w:numId w:val="17"/>
        </w:numPr>
        <w:pBdr>
          <w:top w:val="nil"/>
          <w:left w:val="nil"/>
          <w:bottom w:val="nil"/>
          <w:right w:val="nil"/>
          <w:between w:val="nil"/>
        </w:pBdr>
        <w:spacing w:after="0" w:line="360" w:lineRule="auto"/>
        <w:ind w:leftChars="386" w:left="1130" w:rightChars="151" w:right="332" w:hanging="281"/>
        <w:contextualSpacing/>
        <w:jc w:val="both"/>
        <w:rPr>
          <w:rFonts w:ascii="Palatino Linotype" w:eastAsia="Palatino Linotype" w:hAnsi="Palatino Linotype" w:cs="Palatino Linotype"/>
          <w:i/>
        </w:rPr>
      </w:pPr>
      <w:r w:rsidRPr="00D150B0">
        <w:rPr>
          <w:rFonts w:ascii="Palatino Linotype" w:eastAsia="Palatino Linotype" w:hAnsi="Palatino Linotype" w:cs="Palatino Linotype"/>
          <w:i/>
        </w:rPr>
        <w:t>El inventario de altas practicadas a los bienes muebles del primero de enero al cinco de septiembre del año dos mil dieciocho.</w:t>
      </w:r>
    </w:p>
    <w:p w:rsidR="00D150B0" w:rsidRPr="00D150B0" w:rsidRDefault="00D150B0" w:rsidP="00D150B0">
      <w:pPr>
        <w:numPr>
          <w:ilvl w:val="0"/>
          <w:numId w:val="17"/>
        </w:numPr>
        <w:pBdr>
          <w:top w:val="nil"/>
          <w:left w:val="nil"/>
          <w:bottom w:val="nil"/>
          <w:right w:val="nil"/>
          <w:between w:val="nil"/>
        </w:pBdr>
        <w:tabs>
          <w:tab w:val="left" w:pos="426"/>
        </w:tabs>
        <w:spacing w:before="240" w:after="240" w:line="360" w:lineRule="auto"/>
        <w:ind w:leftChars="386" w:left="1130" w:rightChars="151" w:right="332" w:hanging="281"/>
        <w:contextualSpacing/>
        <w:jc w:val="both"/>
        <w:rPr>
          <w:rFonts w:ascii="Palatino Linotype" w:hAnsi="Palatino Linotype" w:cs="Arial"/>
          <w:i/>
          <w:sz w:val="24"/>
          <w:szCs w:val="24"/>
        </w:rPr>
      </w:pPr>
      <w:r w:rsidRPr="00D150B0">
        <w:rPr>
          <w:rFonts w:ascii="Palatino Linotype" w:eastAsia="Palatino Linotype" w:hAnsi="Palatino Linotype" w:cs="Palatino Linotype"/>
          <w:i/>
        </w:rPr>
        <w:lastRenderedPageBreak/>
        <w:t>El inventario de bienes muebles del primero de enero al cinco de septiembre del año dos mil dieciocho.</w:t>
      </w:r>
    </w:p>
    <w:p w:rsidR="00E305E3" w:rsidRPr="00D150B0" w:rsidRDefault="00D150B0" w:rsidP="00D150B0">
      <w:pPr>
        <w:numPr>
          <w:ilvl w:val="0"/>
          <w:numId w:val="17"/>
        </w:numPr>
        <w:pBdr>
          <w:top w:val="nil"/>
          <w:left w:val="nil"/>
          <w:bottom w:val="nil"/>
          <w:right w:val="nil"/>
          <w:between w:val="nil"/>
        </w:pBdr>
        <w:tabs>
          <w:tab w:val="left" w:pos="426"/>
        </w:tabs>
        <w:spacing w:before="240" w:after="240" w:line="360" w:lineRule="auto"/>
        <w:ind w:leftChars="386" w:left="1130" w:rightChars="151" w:right="332" w:hanging="281"/>
        <w:contextualSpacing/>
        <w:jc w:val="both"/>
        <w:rPr>
          <w:rFonts w:ascii="Palatino Linotype" w:hAnsi="Palatino Linotype" w:cs="Arial"/>
          <w:i/>
          <w:sz w:val="24"/>
          <w:szCs w:val="24"/>
        </w:rPr>
      </w:pPr>
      <w:r w:rsidRPr="00D150B0">
        <w:rPr>
          <w:rFonts w:ascii="Palatino Linotype" w:eastAsia="Palatino Linotype" w:hAnsi="Palatino Linotype" w:cs="Palatino Linotype"/>
          <w:i/>
        </w:rPr>
        <w:t>Los tipos de uso de suelo del primero de enero al cinco de septiembre del año dos mil dieciocho.</w:t>
      </w:r>
      <w:r>
        <w:rPr>
          <w:rFonts w:ascii="Palatino Linotype" w:eastAsia="Palatino Linotype" w:hAnsi="Palatino Linotype" w:cs="Palatino Linotype"/>
          <w:i/>
        </w:rPr>
        <w:t>”</w:t>
      </w:r>
    </w:p>
    <w:p w:rsidR="00DD31EB" w:rsidRPr="00E305E3" w:rsidRDefault="00E305E3" w:rsidP="006451E1">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E305E3">
        <w:rPr>
          <w:rFonts w:ascii="Palatino Linotype" w:hAnsi="Palatino Linotype" w:cs="Arial"/>
          <w:sz w:val="24"/>
          <w:szCs w:val="24"/>
        </w:rPr>
        <w:t xml:space="preserve">Dicho lo anterior, mi voto particular se deriva porque, a consideración de un servidor, la </w:t>
      </w:r>
      <w:r w:rsidR="00D150B0">
        <w:rPr>
          <w:rFonts w:ascii="Palatino Linotype" w:hAnsi="Palatino Linotype" w:cs="Arial"/>
          <w:sz w:val="24"/>
          <w:szCs w:val="24"/>
        </w:rPr>
        <w:t xml:space="preserve">resolución debió haber considerado el gran volumen de información que el particular solicitó, y de lo anterior, haber determinado cambiar la modalidad de entrega de la información vía consulta directa </w:t>
      </w:r>
      <w:r w:rsidR="004303EC">
        <w:rPr>
          <w:rFonts w:ascii="Palatino Linotype" w:hAnsi="Palatino Linotype" w:cs="Arial"/>
          <w:sz w:val="24"/>
          <w:szCs w:val="24"/>
        </w:rPr>
        <w:t xml:space="preserve">en lugar de ordenar su entrega al correo electrónico del </w:t>
      </w:r>
      <w:r w:rsidR="004303EC">
        <w:rPr>
          <w:rFonts w:ascii="Palatino Linotype" w:hAnsi="Palatino Linotype" w:cs="Arial"/>
          <w:b/>
          <w:sz w:val="24"/>
          <w:szCs w:val="24"/>
        </w:rPr>
        <w:t>RECURRENTE</w:t>
      </w:r>
      <w:r w:rsidR="004303EC">
        <w:rPr>
          <w:rFonts w:ascii="Palatino Linotype" w:hAnsi="Palatino Linotype" w:cs="Arial"/>
          <w:sz w:val="24"/>
          <w:szCs w:val="24"/>
        </w:rPr>
        <w:t xml:space="preserve"> y vía SAIMEX.</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D66E5F" w:rsidRDefault="00D66E5F" w:rsidP="00E34F08">
      <w:pPr>
        <w:pStyle w:val="Prrafodelista"/>
        <w:rPr>
          <w:rFonts w:ascii="Palatino Linotype" w:hAnsi="Palatino Linotype" w:cs="Arial"/>
          <w:sz w:val="24"/>
          <w:szCs w:val="24"/>
        </w:rPr>
      </w:pPr>
    </w:p>
    <w:p w:rsidR="0046491C" w:rsidRPr="0001046D" w:rsidRDefault="0046491C" w:rsidP="00382D3E">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1" w:name="_Toc535250101"/>
      <w:r w:rsidRPr="0001046D">
        <w:rPr>
          <w:rFonts w:ascii="Palatino Linotype" w:hAnsi="Palatino Linotype"/>
          <w:b/>
          <w:color w:val="auto"/>
          <w:sz w:val="24"/>
          <w:szCs w:val="24"/>
        </w:rPr>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E305E3"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4303EC">
        <w:rPr>
          <w:rFonts w:ascii="Palatino Linotype" w:hAnsi="Palatino Linotype" w:cs="Arial"/>
          <w:sz w:val="24"/>
          <w:szCs w:val="24"/>
        </w:rPr>
        <w:t>cinco</w:t>
      </w:r>
      <w:r>
        <w:rPr>
          <w:rFonts w:ascii="Palatino Linotype" w:hAnsi="Palatino Linotype" w:cs="Arial"/>
          <w:sz w:val="24"/>
          <w:szCs w:val="24"/>
        </w:rPr>
        <w:t xml:space="preserve"> (</w:t>
      </w:r>
      <w:r w:rsidR="004303EC">
        <w:rPr>
          <w:rFonts w:ascii="Palatino Linotype" w:hAnsi="Palatino Linotype" w:cs="Arial"/>
          <w:sz w:val="24"/>
          <w:szCs w:val="24"/>
        </w:rPr>
        <w:t>05</w:t>
      </w:r>
      <w:r>
        <w:rPr>
          <w:rFonts w:ascii="Palatino Linotype" w:hAnsi="Palatino Linotype" w:cs="Arial"/>
          <w:sz w:val="24"/>
          <w:szCs w:val="24"/>
        </w:rPr>
        <w:t xml:space="preserve">) de </w:t>
      </w:r>
      <w:r w:rsidR="004303EC">
        <w:rPr>
          <w:rFonts w:ascii="Palatino Linotype" w:hAnsi="Palatino Linotype" w:cs="Arial"/>
          <w:sz w:val="24"/>
          <w:szCs w:val="24"/>
        </w:rPr>
        <w:t>septiembre</w:t>
      </w:r>
      <w:r>
        <w:rPr>
          <w:rFonts w:ascii="Palatino Linotype" w:hAnsi="Palatino Linotype" w:cs="Arial"/>
          <w:sz w:val="24"/>
          <w:szCs w:val="24"/>
        </w:rPr>
        <w:t xml:space="preserve"> de dos mil dieciocho, se presentó la solicitud de información </w:t>
      </w:r>
      <w:r w:rsidR="004303EC">
        <w:rPr>
          <w:rFonts w:ascii="Palatino Linotype" w:hAnsi="Palatino Linotype" w:cs="Arial"/>
          <w:b/>
          <w:sz w:val="24"/>
          <w:szCs w:val="24"/>
        </w:rPr>
        <w:t>00019</w:t>
      </w:r>
      <w:r>
        <w:rPr>
          <w:rFonts w:ascii="Palatino Linotype" w:hAnsi="Palatino Linotype" w:cs="Arial"/>
          <w:b/>
          <w:sz w:val="24"/>
          <w:szCs w:val="24"/>
        </w:rPr>
        <w:t>/</w:t>
      </w:r>
      <w:r w:rsidR="004303EC">
        <w:rPr>
          <w:rFonts w:ascii="Palatino Linotype" w:hAnsi="Palatino Linotype" w:cs="Arial"/>
          <w:b/>
          <w:sz w:val="24"/>
          <w:szCs w:val="24"/>
        </w:rPr>
        <w:t>MEXICAL</w:t>
      </w:r>
      <w:r>
        <w:rPr>
          <w:rFonts w:ascii="Palatino Linotype" w:hAnsi="Palatino Linotype" w:cs="Arial"/>
          <w:b/>
          <w:sz w:val="24"/>
          <w:szCs w:val="24"/>
        </w:rPr>
        <w:t>/IP</w:t>
      </w:r>
      <w:r w:rsidRPr="00E305E3">
        <w:rPr>
          <w:rFonts w:ascii="Palatino Linotype" w:hAnsi="Palatino Linotype" w:cs="Arial"/>
          <w:b/>
          <w:sz w:val="24"/>
          <w:szCs w:val="24"/>
        </w:rPr>
        <w:t>/2018</w:t>
      </w:r>
      <w:r>
        <w:rPr>
          <w:rFonts w:ascii="Palatino Linotype" w:hAnsi="Palatino Linotype" w:cs="Arial"/>
          <w:sz w:val="24"/>
          <w:szCs w:val="24"/>
        </w:rPr>
        <w:t xml:space="preserve">, mediante la que se </w:t>
      </w:r>
      <w:r w:rsidR="00413496" w:rsidRPr="00E305E3">
        <w:rPr>
          <w:rFonts w:ascii="Palatino Linotype" w:hAnsi="Palatino Linotype" w:cs="Arial"/>
          <w:sz w:val="24"/>
          <w:szCs w:val="24"/>
        </w:rPr>
        <w:t>requirió</w:t>
      </w:r>
      <w:r w:rsidR="00413496" w:rsidRPr="00F25783">
        <w:rPr>
          <w:rFonts w:ascii="Palatino Linotype" w:hAnsi="Palatino Linotype" w:cs="Arial"/>
          <w:sz w:val="24"/>
          <w:szCs w:val="24"/>
        </w:rPr>
        <w:t xml:space="preserve"> de</w:t>
      </w:r>
      <w:r w:rsidR="00FF3CDD">
        <w:rPr>
          <w:rFonts w:ascii="Palatino Linotype" w:hAnsi="Palatino Linotype" w:cs="Arial"/>
          <w:sz w:val="24"/>
          <w:szCs w:val="24"/>
        </w:rPr>
        <w:t>l</w:t>
      </w:r>
      <w:r w:rsidR="00413496" w:rsidRPr="00F25783">
        <w:rPr>
          <w:rFonts w:ascii="Palatino Linotype" w:hAnsi="Palatino Linotype" w:cs="Arial"/>
          <w:sz w:val="24"/>
          <w:szCs w:val="24"/>
        </w:rPr>
        <w:t xml:space="preserve"> </w:t>
      </w:r>
      <w:r w:rsidR="00FF3CDD">
        <w:rPr>
          <w:rFonts w:ascii="Palatino Linotype" w:hAnsi="Palatino Linotype" w:cs="Arial"/>
          <w:b/>
          <w:sz w:val="24"/>
          <w:szCs w:val="24"/>
        </w:rPr>
        <w:t xml:space="preserve">Ayuntamiento de </w:t>
      </w:r>
      <w:proofErr w:type="spellStart"/>
      <w:r w:rsidR="004303EC">
        <w:rPr>
          <w:rFonts w:ascii="Palatino Linotype" w:hAnsi="Palatino Linotype" w:cs="Arial"/>
          <w:b/>
          <w:sz w:val="24"/>
          <w:szCs w:val="24"/>
        </w:rPr>
        <w:t>Mexicaltzingo</w:t>
      </w:r>
      <w:proofErr w:type="spellEnd"/>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Pr>
          <w:rFonts w:ascii="Palatino Linotype" w:hAnsi="Palatino Linotype" w:cs="Arial"/>
          <w:sz w:val="24"/>
          <w:szCs w:val="24"/>
        </w:rPr>
        <w:t>siguiente:</w:t>
      </w:r>
    </w:p>
    <w:p w:rsidR="00FF3CDD" w:rsidRPr="00B94DA0" w:rsidRDefault="00FF3CDD" w:rsidP="00382D3E">
      <w:pPr>
        <w:ind w:left="567" w:right="567"/>
        <w:jc w:val="both"/>
        <w:rPr>
          <w:rFonts w:ascii="Palatino Linotype" w:hAnsi="Palatino Linotype" w:cs="Arial"/>
          <w:b/>
          <w:i/>
        </w:rPr>
      </w:pPr>
      <w:r w:rsidRPr="00506538">
        <w:rPr>
          <w:rFonts w:ascii="Palatino Linotype" w:hAnsi="Palatino Linotype" w:cs="Arial"/>
          <w:i/>
          <w:lang w:eastAsia="es-MX"/>
        </w:rPr>
        <w:t>“</w:t>
      </w:r>
      <w:r w:rsidR="004303EC" w:rsidRPr="004303EC">
        <w:rPr>
          <w:rFonts w:ascii="Palatino Linotype" w:hAnsi="Palatino Linotype" w:cs="Arial"/>
          <w:i/>
          <w:lang w:eastAsia="es-MX"/>
        </w:rPr>
        <w:t xml:space="preserve">Solicito que sea proporcionada la información descrita en las fracciones II, VIII, X, XII, XXV, XXVI, XXVIII, XXX, XXXV, XXXVIII, XL, XLVII del artículo 92 de la Ley de Transparencia, Acceso a la Información Pública del Estado de México y Municipios </w:t>
      </w:r>
      <w:r w:rsidR="004303EC" w:rsidRPr="004303EC">
        <w:rPr>
          <w:rFonts w:ascii="Palatino Linotype" w:hAnsi="Palatino Linotype" w:cs="Arial"/>
          <w:i/>
          <w:lang w:eastAsia="es-MX"/>
        </w:rPr>
        <w:lastRenderedPageBreak/>
        <w:t>(LTAIPEMM); así como la descrita en el artículo 94, fracción I, inciso b), d) y f); de la ley en cuestión. Se adjunta solicitud</w:t>
      </w:r>
      <w:proofErr w:type="gramStart"/>
      <w:r w:rsidRPr="00B94DA0">
        <w:rPr>
          <w:rFonts w:ascii="Palatino Linotype" w:hAnsi="Palatino Linotype" w:cs="Arial"/>
          <w:i/>
          <w:lang w:eastAsia="es-MX"/>
        </w:rPr>
        <w:t>”</w:t>
      </w:r>
      <w:r w:rsidRPr="00FF3CDD">
        <w:rPr>
          <w:rFonts w:ascii="Palatino Linotype" w:hAnsi="Palatino Linotype" w:cs="Arial"/>
          <w:lang w:eastAsia="es-MX"/>
        </w:rPr>
        <w:t>(</w:t>
      </w:r>
      <w:proofErr w:type="gramEnd"/>
      <w:r>
        <w:rPr>
          <w:rFonts w:ascii="Palatino Linotype" w:hAnsi="Palatino Linotype" w:cs="Arial"/>
          <w:lang w:eastAsia="es-MX"/>
        </w:rPr>
        <w:t>S</w:t>
      </w:r>
      <w:r w:rsidRPr="00FF3CDD">
        <w:rPr>
          <w:rFonts w:ascii="Palatino Linotype" w:hAnsi="Palatino Linotype" w:cs="Arial"/>
          <w:lang w:eastAsia="es-MX"/>
        </w:rPr>
        <w:t>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4303EC" w:rsidRPr="004303EC" w:rsidRDefault="004303EC"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Asimismo, el particular adjuntó a su solicitud de información el documento denominado </w:t>
      </w:r>
      <w:r>
        <w:rPr>
          <w:rFonts w:ascii="Palatino Linotype" w:hAnsi="Palatino Linotype" w:cs="Arial"/>
          <w:b/>
          <w:i/>
          <w:sz w:val="24"/>
          <w:szCs w:val="24"/>
        </w:rPr>
        <w:t>“Archivo1536175094712.docx”</w:t>
      </w:r>
      <w:r>
        <w:rPr>
          <w:rFonts w:ascii="Palatino Linotype" w:hAnsi="Palatino Linotype" w:cs="Arial"/>
          <w:i/>
          <w:sz w:val="24"/>
          <w:szCs w:val="24"/>
        </w:rPr>
        <w:t xml:space="preserve">, </w:t>
      </w:r>
      <w:r>
        <w:rPr>
          <w:rFonts w:ascii="Palatino Linotype" w:hAnsi="Palatino Linotype" w:cs="Arial"/>
          <w:sz w:val="24"/>
          <w:szCs w:val="24"/>
        </w:rPr>
        <w:t>dentro del cual se aprecia la solicitud de información precisada mediante el formato normal del SAIMEX, el correo electrónico del particular, y un apartado denominado</w:t>
      </w:r>
      <w:r>
        <w:rPr>
          <w:rFonts w:ascii="Palatino Linotype" w:hAnsi="Palatino Linotype" w:cs="Arial"/>
          <w:i/>
          <w:sz w:val="24"/>
          <w:szCs w:val="24"/>
        </w:rPr>
        <w:t xml:space="preserve"> CUALQUIER DATO QUE FACILITE SU BÚSQUEDA Y LOCALIZACIÓN</w:t>
      </w:r>
      <w:r>
        <w:rPr>
          <w:rFonts w:ascii="Palatino Linotype" w:hAnsi="Palatino Linotype" w:cs="Arial"/>
          <w:sz w:val="24"/>
          <w:szCs w:val="24"/>
        </w:rPr>
        <w:t xml:space="preserve"> (de la información requerida), dentro del que el particular manifiesta varios artículos de la Constitución Política de los Estados Unidos Mexicanos, la Ley General de Transparencia y Acceso a la Información Pública, así como la Ley de Transparencia y Acceso a la Información Pública del Estado de México y Municipios.</w:t>
      </w:r>
    </w:p>
    <w:p w:rsidR="004303EC" w:rsidRPr="004303EC" w:rsidRDefault="004303EC" w:rsidP="004303EC">
      <w:pPr>
        <w:pStyle w:val="Prrafodelista"/>
        <w:tabs>
          <w:tab w:val="left" w:pos="426"/>
        </w:tabs>
        <w:spacing w:after="0" w:line="360" w:lineRule="auto"/>
        <w:ind w:left="0"/>
        <w:jc w:val="both"/>
        <w:rPr>
          <w:rFonts w:ascii="Palatino Linotype" w:eastAsia="Times New Roman" w:hAnsi="Palatino Linotype" w:cs="Times New Roman"/>
          <w:i/>
          <w:sz w:val="24"/>
          <w:szCs w:val="24"/>
          <w:lang w:val="es-ES_tradnl" w:eastAsia="es-ES"/>
        </w:rPr>
      </w:pPr>
    </w:p>
    <w:p w:rsidR="00AE4797" w:rsidRPr="009B4E7D" w:rsidRDefault="004303EC"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w:t>
      </w:r>
      <w:r w:rsidR="00AE4797">
        <w:rPr>
          <w:rFonts w:ascii="Palatino Linotype" w:hAnsi="Palatino Linotype" w:cs="Arial"/>
          <w:sz w:val="24"/>
          <w:szCs w:val="24"/>
        </w:rPr>
        <w:t>l</w:t>
      </w:r>
      <w:r w:rsidR="00E305E3">
        <w:rPr>
          <w:rFonts w:ascii="Palatino Linotype" w:hAnsi="Palatino Linotype" w:cs="Arial"/>
          <w:sz w:val="24"/>
          <w:szCs w:val="24"/>
        </w:rPr>
        <w:t xml:space="preserve"> </w:t>
      </w:r>
      <w:r>
        <w:rPr>
          <w:rFonts w:ascii="Palatino Linotype" w:hAnsi="Palatino Linotype" w:cs="Arial"/>
          <w:sz w:val="24"/>
          <w:szCs w:val="24"/>
        </w:rPr>
        <w:t>veintiséis</w:t>
      </w:r>
      <w:r w:rsidR="00E305E3">
        <w:rPr>
          <w:rFonts w:ascii="Palatino Linotype" w:hAnsi="Palatino Linotype" w:cs="Arial"/>
          <w:sz w:val="24"/>
          <w:szCs w:val="24"/>
        </w:rPr>
        <w:t xml:space="preserve"> (</w:t>
      </w:r>
      <w:r>
        <w:rPr>
          <w:rFonts w:ascii="Palatino Linotype" w:hAnsi="Palatino Linotype" w:cs="Arial"/>
          <w:sz w:val="24"/>
          <w:szCs w:val="24"/>
        </w:rPr>
        <w:t>26</w:t>
      </w:r>
      <w:r w:rsidR="00E305E3">
        <w:rPr>
          <w:rFonts w:ascii="Palatino Linotype" w:hAnsi="Palatino Linotype" w:cs="Arial"/>
          <w:sz w:val="24"/>
          <w:szCs w:val="24"/>
        </w:rPr>
        <w:t xml:space="preserve">) de </w:t>
      </w:r>
      <w:r>
        <w:rPr>
          <w:rFonts w:ascii="Palatino Linotype" w:hAnsi="Palatino Linotype" w:cs="Arial"/>
          <w:sz w:val="24"/>
          <w:szCs w:val="24"/>
        </w:rPr>
        <w:t>septiembre</w:t>
      </w:r>
      <w:r w:rsidR="00E305E3">
        <w:rPr>
          <w:rFonts w:ascii="Palatino Linotype" w:hAnsi="Palatino Linotype" w:cs="Arial"/>
          <w:sz w:val="24"/>
          <w:szCs w:val="24"/>
        </w:rPr>
        <w:t xml:space="preserve"> de dos mil dieciocho, el</w:t>
      </w:r>
      <w:r w:rsidR="00AE4797">
        <w:rPr>
          <w:rFonts w:ascii="Palatino Linotype" w:hAnsi="Palatino Linotype" w:cs="Arial"/>
          <w:sz w:val="24"/>
          <w:szCs w:val="24"/>
        </w:rPr>
        <w:t xml:space="preserve">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sidR="00AE4797">
        <w:rPr>
          <w:rFonts w:ascii="Palatino Linotype" w:hAnsi="Palatino Linotype" w:cs="Arial"/>
          <w:sz w:val="24"/>
          <w:szCs w:val="24"/>
        </w:rPr>
        <w:t xml:space="preserve"> </w:t>
      </w:r>
      <w:r w:rsidR="009156AC">
        <w:rPr>
          <w:rFonts w:ascii="Palatino Linotype" w:hAnsi="Palatino Linotype" w:cs="Arial"/>
          <w:sz w:val="24"/>
          <w:szCs w:val="24"/>
        </w:rPr>
        <w:t xml:space="preserve">la </w:t>
      </w:r>
      <w:r w:rsidR="00AE4797">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sidR="00AE4797">
        <w:rPr>
          <w:rFonts w:ascii="Palatino Linotype" w:hAnsi="Palatino Linotype" w:cs="Arial"/>
          <w:sz w:val="24"/>
          <w:szCs w:val="24"/>
        </w:rPr>
        <w:t>, de la siguiente manera:</w:t>
      </w:r>
    </w:p>
    <w:p w:rsidR="004303EC" w:rsidRPr="004303EC" w:rsidRDefault="00E305E3" w:rsidP="004303EC">
      <w:pPr>
        <w:pStyle w:val="Sinespaciado"/>
        <w:ind w:left="567" w:right="567"/>
        <w:jc w:val="right"/>
        <w:rPr>
          <w:rFonts w:ascii="Palatino Linotype" w:hAnsi="Palatino Linotype"/>
          <w:i/>
          <w:lang w:val="es-ES_tradnl" w:eastAsia="es-ES"/>
        </w:rPr>
      </w:pPr>
      <w:r>
        <w:rPr>
          <w:rFonts w:ascii="Palatino Linotype" w:hAnsi="Palatino Linotype"/>
          <w:i/>
          <w:lang w:val="es-ES_tradnl" w:eastAsia="es-ES"/>
        </w:rPr>
        <w:t>“</w:t>
      </w:r>
      <w:proofErr w:type="spellStart"/>
      <w:r w:rsidR="004303EC" w:rsidRPr="004303EC">
        <w:rPr>
          <w:rFonts w:ascii="Palatino Linotype" w:hAnsi="Palatino Linotype"/>
          <w:i/>
          <w:lang w:val="es-ES_tradnl" w:eastAsia="es-ES"/>
        </w:rPr>
        <w:t>Mexicaltzingo</w:t>
      </w:r>
      <w:proofErr w:type="spellEnd"/>
      <w:r w:rsidR="004303EC" w:rsidRPr="004303EC">
        <w:rPr>
          <w:rFonts w:ascii="Palatino Linotype" w:hAnsi="Palatino Linotype"/>
          <w:i/>
          <w:lang w:val="es-ES_tradnl" w:eastAsia="es-ES"/>
        </w:rPr>
        <w:t>, México a 26 de Septiembre de 2018</w:t>
      </w:r>
    </w:p>
    <w:p w:rsidR="004303EC" w:rsidRPr="004303EC" w:rsidRDefault="004303EC" w:rsidP="004303EC">
      <w:pPr>
        <w:pStyle w:val="Sinespaciado"/>
        <w:ind w:left="567" w:right="567"/>
        <w:jc w:val="right"/>
        <w:rPr>
          <w:rFonts w:ascii="Palatino Linotype" w:hAnsi="Palatino Linotype"/>
          <w:i/>
          <w:lang w:val="es-ES_tradnl" w:eastAsia="es-ES"/>
        </w:rPr>
      </w:pPr>
      <w:r w:rsidRPr="004303EC">
        <w:rPr>
          <w:rFonts w:ascii="Palatino Linotype" w:hAnsi="Palatino Linotype"/>
          <w:i/>
          <w:lang w:val="es-ES_tradnl" w:eastAsia="es-ES"/>
        </w:rPr>
        <w:t xml:space="preserve">Nombre del solicitante: </w:t>
      </w:r>
      <w:r w:rsidR="00460082" w:rsidRPr="00460082">
        <w:rPr>
          <w:rFonts w:ascii="Palatino Linotype" w:hAnsi="Palatino Linotype"/>
          <w:i/>
          <w:highlight w:val="black"/>
          <w:lang w:val="es-ES_tradnl" w:eastAsia="es-ES"/>
        </w:rPr>
        <w:t>----------------------------------------------------</w:t>
      </w:r>
    </w:p>
    <w:p w:rsidR="004303EC" w:rsidRPr="004303EC" w:rsidRDefault="004303EC" w:rsidP="004303EC">
      <w:pPr>
        <w:pStyle w:val="Sinespaciado"/>
        <w:ind w:left="567" w:right="567"/>
        <w:jc w:val="right"/>
        <w:rPr>
          <w:rFonts w:ascii="Palatino Linotype" w:hAnsi="Palatino Linotype"/>
          <w:i/>
          <w:lang w:val="es-ES_tradnl" w:eastAsia="es-ES"/>
        </w:rPr>
      </w:pPr>
      <w:r w:rsidRPr="004303EC">
        <w:rPr>
          <w:rFonts w:ascii="Palatino Linotype" w:hAnsi="Palatino Linotype"/>
          <w:i/>
          <w:lang w:val="es-ES_tradnl" w:eastAsia="es-ES"/>
        </w:rPr>
        <w:t>Folio de la solicitud: 00019/MEXICAL/IP/2018</w:t>
      </w:r>
    </w:p>
    <w:p w:rsidR="004303EC" w:rsidRDefault="004303EC" w:rsidP="004303EC">
      <w:pPr>
        <w:pStyle w:val="Sinespaciado"/>
        <w:ind w:left="567" w:right="567"/>
        <w:jc w:val="both"/>
        <w:rPr>
          <w:rFonts w:ascii="Palatino Linotype" w:hAnsi="Palatino Linotype"/>
          <w:i/>
          <w:lang w:val="es-ES_tradnl" w:eastAsia="es-ES"/>
        </w:rPr>
      </w:pPr>
    </w:p>
    <w:p w:rsidR="004303EC" w:rsidRPr="004303EC" w:rsidRDefault="004303EC" w:rsidP="004303EC">
      <w:pPr>
        <w:pStyle w:val="Sinespaciado"/>
        <w:ind w:left="567" w:right="567"/>
        <w:jc w:val="both"/>
        <w:rPr>
          <w:rFonts w:ascii="Palatino Linotype" w:hAnsi="Palatino Linotype"/>
          <w:i/>
          <w:lang w:val="es-ES_tradnl" w:eastAsia="es-ES"/>
        </w:rPr>
      </w:pPr>
      <w:r w:rsidRPr="004303EC">
        <w:rPr>
          <w:rFonts w:ascii="Palatino Linotype" w:hAnsi="Palatino Linotype"/>
          <w:i/>
          <w:lang w:val="es-ES_tradnl" w:eastAsia="es-ES"/>
        </w:rPr>
        <w:t xml:space="preserve">Sirva este medio para hacer de su conocimiento que la información solicitada por Usted forma parte de la documental referida a las obligaciones de información pública del Sujeto Obligado Ayuntamiento de </w:t>
      </w:r>
      <w:proofErr w:type="spellStart"/>
      <w:r w:rsidRPr="004303EC">
        <w:rPr>
          <w:rFonts w:ascii="Palatino Linotype" w:hAnsi="Palatino Linotype"/>
          <w:i/>
          <w:lang w:val="es-ES_tradnl" w:eastAsia="es-ES"/>
        </w:rPr>
        <w:t>Mexicaltzingo</w:t>
      </w:r>
      <w:proofErr w:type="spellEnd"/>
      <w:r w:rsidRPr="004303EC">
        <w:rPr>
          <w:rFonts w:ascii="Palatino Linotype" w:hAnsi="Palatino Linotype"/>
          <w:i/>
          <w:lang w:val="es-ES_tradnl" w:eastAsia="es-ES"/>
        </w:rPr>
        <w:t xml:space="preserve">, la cual puede ser consultada en el sitio de Información Pública de Oficio Mexiquense (IPOMEX) correspondiente. Para pronta referencia le ofrecemos el siguiente enlace electrónico que le conduce de forma directa a dicho sitio web, mismo que puede utilizar en cualquier navegador de internet. https://www.ipomex.org.mx/ipo/lgt/indice/mexicaltzingo.web Le informamos también que la administración municipal realiza actualmente importantes esfuerzos para dar </w:t>
      </w:r>
      <w:r w:rsidRPr="004303EC">
        <w:rPr>
          <w:rFonts w:ascii="Palatino Linotype" w:hAnsi="Palatino Linotype"/>
          <w:i/>
          <w:lang w:val="es-ES_tradnl" w:eastAsia="es-ES"/>
        </w:rPr>
        <w:lastRenderedPageBreak/>
        <w:t xml:space="preserve">cumplimiento a las disposiciones en la materia, especialmente en lo concerniente a la actualización de dicho sitio, por lo que continuaremos actualizando dicho sitio electrónico. En acatamiento al artículo 177 de la Ley de Transparencia y Acceso a la Información Pública del Estado de México y Municipios vigente le informamos que cuenta con el derecho a interponer el Recurso de Revisión a que se refiere el artículo 176 de la Ley en cita dentro de los quince días hábiles siguientes a la recepción de la presente, de considerar que la respuesta que </w:t>
      </w:r>
      <w:proofErr w:type="spellStart"/>
      <w:r w:rsidRPr="004303EC">
        <w:rPr>
          <w:rFonts w:ascii="Palatino Linotype" w:hAnsi="Palatino Linotype"/>
          <w:i/>
          <w:lang w:val="es-ES_tradnl" w:eastAsia="es-ES"/>
        </w:rPr>
        <w:t>el</w:t>
      </w:r>
      <w:proofErr w:type="spellEnd"/>
      <w:r w:rsidRPr="004303EC">
        <w:rPr>
          <w:rFonts w:ascii="Palatino Linotype" w:hAnsi="Palatino Linotype"/>
          <w:i/>
          <w:lang w:val="es-ES_tradnl" w:eastAsia="es-ES"/>
        </w:rPr>
        <w:t xml:space="preserve"> es proporcionada vulnera, violenta o transgrede su derecho de acceso a la información. Agradecemos su interés y nos reiteramos a sus apreciables órdenes.</w:t>
      </w:r>
    </w:p>
    <w:p w:rsidR="004303EC" w:rsidRDefault="004303EC" w:rsidP="004303EC">
      <w:pPr>
        <w:pStyle w:val="Sinespaciado"/>
        <w:ind w:left="567" w:right="567"/>
        <w:jc w:val="both"/>
        <w:rPr>
          <w:rFonts w:ascii="Palatino Linotype" w:hAnsi="Palatino Linotype"/>
          <w:i/>
          <w:lang w:val="es-ES_tradnl" w:eastAsia="es-ES"/>
        </w:rPr>
      </w:pPr>
    </w:p>
    <w:p w:rsidR="004303EC" w:rsidRPr="004303EC" w:rsidRDefault="004303EC" w:rsidP="004303EC">
      <w:pPr>
        <w:pStyle w:val="Sinespaciado"/>
        <w:ind w:left="567" w:right="567"/>
        <w:jc w:val="both"/>
        <w:rPr>
          <w:rFonts w:ascii="Palatino Linotype" w:hAnsi="Palatino Linotype"/>
          <w:i/>
          <w:lang w:val="es-ES_tradnl" w:eastAsia="es-ES"/>
        </w:rPr>
      </w:pPr>
      <w:r w:rsidRPr="004303EC">
        <w:rPr>
          <w:rFonts w:ascii="Palatino Linotype" w:hAnsi="Palatino Linotype"/>
          <w:i/>
          <w:lang w:val="es-ES_tradnl" w:eastAsia="es-ES"/>
        </w:rPr>
        <w:t>ATENTAMENTE</w:t>
      </w:r>
    </w:p>
    <w:p w:rsidR="00AE4797" w:rsidRPr="00382D3E" w:rsidRDefault="004303EC" w:rsidP="004303EC">
      <w:pPr>
        <w:pStyle w:val="Sinespaciado"/>
        <w:ind w:left="567" w:right="567"/>
        <w:jc w:val="both"/>
        <w:rPr>
          <w:rFonts w:ascii="Palatino Linotype" w:hAnsi="Palatino Linotype"/>
          <w:lang w:val="es-ES_tradnl" w:eastAsia="es-ES"/>
        </w:rPr>
      </w:pPr>
      <w:r w:rsidRPr="004303EC">
        <w:rPr>
          <w:rFonts w:ascii="Palatino Linotype" w:hAnsi="Palatino Linotype"/>
          <w:i/>
          <w:lang w:val="es-ES_tradnl" w:eastAsia="es-ES"/>
        </w:rPr>
        <w:t>C. Edgar Roberto Dávila Jiménez</w:t>
      </w:r>
      <w:r w:rsidR="00382D3E">
        <w:rPr>
          <w:rFonts w:ascii="Palatino Linotype" w:hAnsi="Palatino Linotype"/>
          <w:i/>
          <w:lang w:val="es-ES_tradnl" w:eastAsia="es-ES"/>
        </w:rPr>
        <w:t>”</w:t>
      </w:r>
      <w:r w:rsidR="00382D3E">
        <w:rPr>
          <w:rFonts w:ascii="Palatino Linotype" w:hAnsi="Palatino Linotype"/>
          <w:lang w:val="es-ES_tradnl" w:eastAsia="es-ES"/>
        </w:rPr>
        <w:t xml:space="preserve"> (Sic).</w:t>
      </w:r>
    </w:p>
    <w:p w:rsidR="009B4E7D" w:rsidRPr="00382D3E" w:rsidRDefault="009B4E7D" w:rsidP="00382D3E">
      <w:pPr>
        <w:spacing w:after="0" w:line="360" w:lineRule="auto"/>
        <w:ind w:right="616"/>
        <w:jc w:val="both"/>
        <w:rPr>
          <w:rFonts w:ascii="Palatino Linotype" w:eastAsia="Times New Roman" w:hAnsi="Palatino Linotype" w:cs="Times New Roman"/>
          <w:i/>
          <w:sz w:val="24"/>
          <w:szCs w:val="24"/>
          <w:lang w:val="es-ES_tradnl" w:eastAsia="es-ES"/>
        </w:rPr>
      </w:pPr>
    </w:p>
    <w:p w:rsidR="0094239C" w:rsidRDefault="00E305E3"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Derivado de la respuesta, el </w:t>
      </w:r>
      <w:r w:rsidR="004303EC">
        <w:rPr>
          <w:rFonts w:ascii="Palatino Linotype" w:hAnsi="Palatino Linotype" w:cs="Arial"/>
          <w:sz w:val="24"/>
          <w:szCs w:val="24"/>
        </w:rPr>
        <w:t>dieciséis</w:t>
      </w:r>
      <w:r>
        <w:rPr>
          <w:rFonts w:ascii="Palatino Linotype" w:hAnsi="Palatino Linotype" w:cs="Arial"/>
          <w:sz w:val="24"/>
          <w:szCs w:val="24"/>
        </w:rPr>
        <w:t xml:space="preserve"> (</w:t>
      </w:r>
      <w:r w:rsidR="004303EC">
        <w:rPr>
          <w:rFonts w:ascii="Palatino Linotype" w:hAnsi="Palatino Linotype" w:cs="Arial"/>
          <w:sz w:val="24"/>
          <w:szCs w:val="24"/>
        </w:rPr>
        <w:t>16</w:t>
      </w:r>
      <w:r>
        <w:rPr>
          <w:rFonts w:ascii="Palatino Linotype" w:hAnsi="Palatino Linotype" w:cs="Arial"/>
          <w:sz w:val="24"/>
          <w:szCs w:val="24"/>
        </w:rPr>
        <w:t>) de octubre de dos mil dieciocho</w:t>
      </w:r>
      <w:r w:rsidR="0046491C" w:rsidRPr="00382D3E">
        <w:rPr>
          <w:rFonts w:ascii="Palatino Linotype" w:hAnsi="Palatino Linotype" w:cs="Arial"/>
          <w:sz w:val="24"/>
          <w:szCs w:val="24"/>
        </w:rPr>
        <w:t>,</w:t>
      </w:r>
      <w:r w:rsidR="0046491C" w:rsidRPr="00382D3E">
        <w:rPr>
          <w:rFonts w:ascii="Palatino Linotype" w:hAnsi="Palatino Linotype" w:cs="Arial"/>
          <w:b/>
          <w:sz w:val="24"/>
          <w:szCs w:val="24"/>
        </w:rPr>
        <w:t xml:space="preserve"> </w:t>
      </w:r>
      <w:r w:rsidR="004303EC">
        <w:rPr>
          <w:rFonts w:ascii="Palatino Linotype" w:hAnsi="Palatino Linotype" w:cs="Arial"/>
          <w:sz w:val="24"/>
          <w:szCs w:val="24"/>
        </w:rPr>
        <w:t>el</w:t>
      </w:r>
      <w:r w:rsidR="00AE4797" w:rsidRPr="00382D3E">
        <w:rPr>
          <w:rFonts w:ascii="Palatino Linotype" w:hAnsi="Palatino Linotype" w:cs="Arial"/>
          <w:sz w:val="24"/>
          <w:szCs w:val="24"/>
        </w:rPr>
        <w:t xml:space="preserve"> </w:t>
      </w:r>
      <w:r>
        <w:rPr>
          <w:rFonts w:ascii="Palatino Linotype" w:hAnsi="Palatino Linotype" w:cs="Arial"/>
          <w:sz w:val="24"/>
          <w:szCs w:val="24"/>
        </w:rPr>
        <w:t xml:space="preserve">ahora </w:t>
      </w:r>
      <w:r w:rsidR="00E30CD7" w:rsidRPr="00382D3E">
        <w:rPr>
          <w:rFonts w:ascii="Palatino Linotype" w:hAnsi="Palatino Linotype" w:cs="Arial"/>
          <w:b/>
          <w:sz w:val="24"/>
          <w:szCs w:val="24"/>
        </w:rPr>
        <w:t>RECURRENTE</w:t>
      </w:r>
      <w:r w:rsidR="00382D3E" w:rsidRPr="00382D3E">
        <w:rPr>
          <w:rFonts w:ascii="Palatino Linotype" w:hAnsi="Palatino Linotype" w:cs="Arial"/>
          <w:b/>
          <w:sz w:val="24"/>
          <w:szCs w:val="24"/>
        </w:rPr>
        <w:t>,</w:t>
      </w:r>
      <w:r w:rsidR="00382D3E" w:rsidRPr="00382D3E">
        <w:rPr>
          <w:rFonts w:ascii="Palatino Linotype" w:hAnsi="Palatino Linotype" w:cs="Arial"/>
          <w:sz w:val="24"/>
          <w:szCs w:val="24"/>
        </w:rPr>
        <w:t xml:space="preserve"> </w:t>
      </w:r>
      <w:r>
        <w:rPr>
          <w:rFonts w:ascii="Palatino Linotype" w:hAnsi="Palatino Linotype" w:cs="Arial"/>
          <w:sz w:val="24"/>
          <w:szCs w:val="24"/>
        </w:rPr>
        <w:t>promovió el recurso de revisión</w:t>
      </w:r>
      <w:r w:rsidR="00382D3E" w:rsidRPr="00382D3E">
        <w:rPr>
          <w:rFonts w:ascii="Palatino Linotype" w:hAnsi="Palatino Linotype" w:cs="Arial"/>
          <w:sz w:val="24"/>
          <w:szCs w:val="24"/>
        </w:rPr>
        <w:t xml:space="preserve"> </w:t>
      </w:r>
      <w:r w:rsidR="004303EC">
        <w:rPr>
          <w:rFonts w:ascii="Palatino Linotype" w:hAnsi="Palatino Linotype" w:cs="Arial"/>
          <w:b/>
          <w:sz w:val="24"/>
          <w:szCs w:val="24"/>
        </w:rPr>
        <w:t>03974</w:t>
      </w:r>
      <w:r w:rsidR="00382D3E" w:rsidRPr="00382D3E">
        <w:rPr>
          <w:rFonts w:ascii="Palatino Linotype" w:hAnsi="Palatino Linotype" w:cs="Arial"/>
          <w:b/>
          <w:sz w:val="24"/>
          <w:szCs w:val="24"/>
        </w:rPr>
        <w:t>/INFOEM/IP/RR/2018</w:t>
      </w:r>
      <w:r w:rsidR="00382D3E" w:rsidRPr="00382D3E">
        <w:rPr>
          <w:rFonts w:ascii="Palatino Linotype" w:hAnsi="Palatino Linotype" w:cs="Arial"/>
          <w:sz w:val="24"/>
          <w:szCs w:val="24"/>
        </w:rPr>
        <w:t xml:space="preserve">, </w:t>
      </w:r>
      <w:r>
        <w:rPr>
          <w:rFonts w:ascii="Palatino Linotype" w:hAnsi="Palatino Linotype" w:cs="Arial"/>
          <w:sz w:val="24"/>
          <w:szCs w:val="24"/>
        </w:rPr>
        <w:t xml:space="preserve">en el que </w:t>
      </w:r>
      <w:r w:rsidR="00382D3E" w:rsidRPr="00382D3E">
        <w:rPr>
          <w:rFonts w:ascii="Palatino Linotype" w:hAnsi="Palatino Linotype" w:cs="Arial"/>
          <w:sz w:val="24"/>
          <w:szCs w:val="24"/>
        </w:rPr>
        <w:t>manifestó como A</w:t>
      </w:r>
      <w:r w:rsidR="00382D3E">
        <w:rPr>
          <w:rFonts w:ascii="Palatino Linotype" w:hAnsi="Palatino Linotype" w:cs="Arial"/>
          <w:sz w:val="24"/>
          <w:szCs w:val="24"/>
        </w:rPr>
        <w:t xml:space="preserve">cto Impugnado y Razones o </w:t>
      </w:r>
      <w:r>
        <w:rPr>
          <w:rFonts w:ascii="Palatino Linotype" w:hAnsi="Palatino Linotype" w:cs="Arial"/>
          <w:sz w:val="24"/>
          <w:szCs w:val="24"/>
        </w:rPr>
        <w:t xml:space="preserve">Motivos de Inconformidad </w:t>
      </w:r>
      <w:r w:rsidR="004303EC">
        <w:rPr>
          <w:rFonts w:ascii="Palatino Linotype" w:hAnsi="Palatino Linotype" w:cs="Arial"/>
          <w:sz w:val="24"/>
          <w:szCs w:val="24"/>
        </w:rPr>
        <w:t>lo siguiente:</w:t>
      </w:r>
    </w:p>
    <w:p w:rsidR="00C70D03" w:rsidRDefault="00C70D03" w:rsidP="004303EC">
      <w:pPr>
        <w:pStyle w:val="Prrafodelista"/>
        <w:tabs>
          <w:tab w:val="left" w:pos="426"/>
        </w:tabs>
        <w:spacing w:before="240" w:after="240" w:line="360" w:lineRule="auto"/>
        <w:ind w:left="0"/>
        <w:jc w:val="both"/>
        <w:rPr>
          <w:rFonts w:ascii="Palatino Linotype" w:hAnsi="Palatino Linotype" w:cs="Arial"/>
          <w:sz w:val="24"/>
          <w:szCs w:val="24"/>
        </w:rPr>
      </w:pPr>
    </w:p>
    <w:p w:rsidR="004303EC" w:rsidRPr="004303EC" w:rsidRDefault="004303EC" w:rsidP="00C70D03">
      <w:pPr>
        <w:pStyle w:val="Prrafodelista"/>
        <w:tabs>
          <w:tab w:val="left" w:pos="426"/>
        </w:tabs>
        <w:spacing w:before="240" w:after="240" w:line="360" w:lineRule="auto"/>
        <w:ind w:left="567" w:right="567"/>
        <w:jc w:val="both"/>
        <w:rPr>
          <w:rFonts w:ascii="Palatino Linotype" w:hAnsi="Palatino Linotype" w:cs="Arial"/>
          <w:i/>
          <w:sz w:val="24"/>
          <w:szCs w:val="24"/>
        </w:rPr>
      </w:pPr>
      <w:r>
        <w:rPr>
          <w:rFonts w:ascii="Palatino Linotype" w:hAnsi="Palatino Linotype" w:cs="Arial"/>
          <w:sz w:val="24"/>
          <w:szCs w:val="24"/>
        </w:rPr>
        <w:t xml:space="preserve">Acto impugnado: </w:t>
      </w:r>
      <w:r>
        <w:rPr>
          <w:rFonts w:ascii="Palatino Linotype" w:hAnsi="Palatino Linotype" w:cs="Arial"/>
          <w:i/>
          <w:sz w:val="24"/>
          <w:szCs w:val="24"/>
        </w:rPr>
        <w:t>“La entre</w:t>
      </w:r>
      <w:r w:rsidR="00C70D03">
        <w:rPr>
          <w:rFonts w:ascii="Palatino Linotype" w:hAnsi="Palatino Linotype" w:cs="Arial"/>
          <w:i/>
          <w:sz w:val="24"/>
          <w:szCs w:val="24"/>
        </w:rPr>
        <w:t>ga de información incompleta.”</w:t>
      </w:r>
    </w:p>
    <w:p w:rsidR="004303EC" w:rsidRDefault="004303EC" w:rsidP="00C70D03">
      <w:pPr>
        <w:pStyle w:val="Prrafodelista"/>
        <w:tabs>
          <w:tab w:val="left" w:pos="426"/>
        </w:tabs>
        <w:spacing w:before="240" w:after="240" w:line="360" w:lineRule="auto"/>
        <w:ind w:left="567" w:right="567"/>
        <w:jc w:val="both"/>
        <w:rPr>
          <w:rFonts w:ascii="Palatino Linotype" w:hAnsi="Palatino Linotype" w:cs="Arial"/>
          <w:sz w:val="24"/>
          <w:szCs w:val="24"/>
        </w:rPr>
      </w:pPr>
    </w:p>
    <w:p w:rsidR="004303EC" w:rsidRDefault="004303EC" w:rsidP="00C70D03">
      <w:pPr>
        <w:pStyle w:val="Prrafodelista"/>
        <w:tabs>
          <w:tab w:val="left" w:pos="426"/>
        </w:tabs>
        <w:spacing w:before="240" w:after="240" w:line="360" w:lineRule="auto"/>
        <w:ind w:left="567" w:right="567"/>
        <w:jc w:val="both"/>
        <w:rPr>
          <w:rFonts w:ascii="Palatino Linotype" w:hAnsi="Palatino Linotype" w:cs="Arial"/>
          <w:sz w:val="24"/>
          <w:szCs w:val="24"/>
        </w:rPr>
      </w:pPr>
      <w:r>
        <w:rPr>
          <w:rFonts w:ascii="Palatino Linotype" w:hAnsi="Palatino Linotype" w:cs="Arial"/>
          <w:sz w:val="24"/>
          <w:szCs w:val="24"/>
        </w:rPr>
        <w:t>Razones o motivos de la inconformidad:</w:t>
      </w:r>
      <w:r w:rsidR="00C70D03">
        <w:rPr>
          <w:rFonts w:ascii="Palatino Linotype" w:hAnsi="Palatino Linotype" w:cs="Arial"/>
          <w:sz w:val="24"/>
          <w:szCs w:val="24"/>
        </w:rPr>
        <w:t xml:space="preserve"> </w:t>
      </w:r>
      <w:r w:rsidR="00C70D03" w:rsidRPr="00C70D03">
        <w:rPr>
          <w:rFonts w:ascii="Palatino Linotype" w:hAnsi="Palatino Linotype" w:cs="Arial"/>
          <w:i/>
          <w:sz w:val="24"/>
          <w:szCs w:val="24"/>
        </w:rPr>
        <w:t xml:space="preserve">“El sujeto obligado debe poner a mi disposición la información que solicité durante el periodo comprendido del 11 de septiembre de 2017 al 11 de septiembre de 2018. En ese sentido y conforme a lo establecido en el artículo 179, fracción V de la Ley de Transparencia y Acceso a la Información Pública del Estado de México y Municipios, ocurro en tiempo y forma como lo establece el artículo 178, primer párrafo de la Ley local, a interponer RECURSO DE REVISIÓN en contra de la respuesta proporcionada </w:t>
      </w:r>
      <w:r w:rsidR="00C70D03" w:rsidRPr="00C70D03">
        <w:rPr>
          <w:rFonts w:ascii="Palatino Linotype" w:hAnsi="Palatino Linotype" w:cs="Arial"/>
          <w:i/>
          <w:sz w:val="24"/>
          <w:szCs w:val="24"/>
        </w:rPr>
        <w:lastRenderedPageBreak/>
        <w:t xml:space="preserve">por el H. Ayuntamiento de </w:t>
      </w:r>
      <w:proofErr w:type="spellStart"/>
      <w:r w:rsidR="00C70D03" w:rsidRPr="00C70D03">
        <w:rPr>
          <w:rFonts w:ascii="Palatino Linotype" w:hAnsi="Palatino Linotype" w:cs="Arial"/>
          <w:i/>
          <w:sz w:val="24"/>
          <w:szCs w:val="24"/>
        </w:rPr>
        <w:t>Mexicaltzingo</w:t>
      </w:r>
      <w:proofErr w:type="spellEnd"/>
      <w:r w:rsidR="00C70D03" w:rsidRPr="00C70D03">
        <w:rPr>
          <w:rFonts w:ascii="Palatino Linotype" w:hAnsi="Palatino Linotype" w:cs="Arial"/>
          <w:i/>
          <w:sz w:val="24"/>
          <w:szCs w:val="24"/>
        </w:rPr>
        <w:t>, en el Estado de México, por la entrega de información incompleta.”</w:t>
      </w:r>
    </w:p>
    <w:p w:rsidR="00382D3E" w:rsidRDefault="00382D3E" w:rsidP="00382D3E">
      <w:pPr>
        <w:pStyle w:val="Prrafodelista"/>
        <w:tabs>
          <w:tab w:val="left" w:pos="426"/>
        </w:tabs>
        <w:spacing w:before="240" w:after="240" w:line="360" w:lineRule="auto"/>
        <w:ind w:left="0"/>
        <w:jc w:val="both"/>
        <w:rPr>
          <w:rFonts w:ascii="Palatino Linotype" w:hAnsi="Palatino Linotype" w:cs="Arial"/>
          <w:sz w:val="24"/>
          <w:szCs w:val="24"/>
        </w:rPr>
      </w:pPr>
    </w:p>
    <w:p w:rsidR="00AC4562" w:rsidRDefault="00AC4562"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El </w:t>
      </w:r>
      <w:r w:rsidR="00C70D03">
        <w:rPr>
          <w:rFonts w:ascii="Palatino Linotype" w:hAnsi="Palatino Linotype" w:cs="Arial"/>
          <w:sz w:val="24"/>
          <w:szCs w:val="24"/>
        </w:rPr>
        <w:t>treinta</w:t>
      </w:r>
      <w:r>
        <w:rPr>
          <w:rFonts w:ascii="Palatino Linotype" w:hAnsi="Palatino Linotype" w:cs="Arial"/>
          <w:sz w:val="24"/>
          <w:szCs w:val="24"/>
        </w:rPr>
        <w:t xml:space="preserve"> (</w:t>
      </w:r>
      <w:r w:rsidR="00C70D03">
        <w:rPr>
          <w:rFonts w:ascii="Palatino Linotype" w:hAnsi="Palatino Linotype" w:cs="Arial"/>
          <w:sz w:val="24"/>
          <w:szCs w:val="24"/>
        </w:rPr>
        <w:t>30</w:t>
      </w:r>
      <w:r>
        <w:rPr>
          <w:rFonts w:ascii="Palatino Linotype" w:hAnsi="Palatino Linotype" w:cs="Arial"/>
          <w:sz w:val="24"/>
          <w:szCs w:val="24"/>
        </w:rPr>
        <w:t xml:space="preserve">) de </w:t>
      </w:r>
      <w:r w:rsidR="00C70D03">
        <w:rPr>
          <w:rFonts w:ascii="Palatino Linotype" w:hAnsi="Palatino Linotype" w:cs="Arial"/>
          <w:sz w:val="24"/>
          <w:szCs w:val="24"/>
        </w:rPr>
        <w:t>octubre</w:t>
      </w:r>
      <w:r>
        <w:rPr>
          <w:rFonts w:ascii="Palatino Linotype" w:hAnsi="Palatino Linotype" w:cs="Arial"/>
          <w:sz w:val="24"/>
          <w:szCs w:val="24"/>
        </w:rPr>
        <w:t xml:space="preserve"> de dos mil dieciocho, </w:t>
      </w:r>
      <w:r w:rsidR="00C70D03">
        <w:rPr>
          <w:rFonts w:ascii="Palatino Linotype" w:hAnsi="Palatino Linotype" w:cs="Arial"/>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subió en el apartado de </w:t>
      </w:r>
      <w:r>
        <w:rPr>
          <w:rFonts w:ascii="Palatino Linotype" w:hAnsi="Palatino Linotype" w:cs="Arial"/>
          <w:i/>
          <w:sz w:val="24"/>
          <w:szCs w:val="24"/>
        </w:rPr>
        <w:t>Manifestaciones</w:t>
      </w:r>
      <w:r>
        <w:rPr>
          <w:rFonts w:ascii="Palatino Linotype" w:hAnsi="Palatino Linotype" w:cs="Arial"/>
          <w:sz w:val="24"/>
          <w:szCs w:val="24"/>
        </w:rPr>
        <w:t xml:space="preserve"> del SAIMEX, </w:t>
      </w:r>
      <w:r w:rsidR="00265990">
        <w:rPr>
          <w:rFonts w:ascii="Palatino Linotype" w:hAnsi="Palatino Linotype" w:cs="Arial"/>
          <w:sz w:val="24"/>
          <w:szCs w:val="24"/>
        </w:rPr>
        <w:t xml:space="preserve">un documento en formato </w:t>
      </w:r>
      <w:r w:rsidR="00265990">
        <w:rPr>
          <w:rFonts w:ascii="Palatino Linotype" w:hAnsi="Palatino Linotype" w:cs="Arial"/>
          <w:i/>
          <w:sz w:val="24"/>
          <w:szCs w:val="24"/>
        </w:rPr>
        <w:t>“.</w:t>
      </w:r>
      <w:proofErr w:type="spellStart"/>
      <w:r w:rsidR="00265990">
        <w:rPr>
          <w:rFonts w:ascii="Palatino Linotype" w:hAnsi="Palatino Linotype" w:cs="Arial"/>
          <w:i/>
          <w:sz w:val="24"/>
          <w:szCs w:val="24"/>
        </w:rPr>
        <w:t>docx</w:t>
      </w:r>
      <w:proofErr w:type="spellEnd"/>
      <w:r w:rsidR="00265990">
        <w:rPr>
          <w:rFonts w:ascii="Palatino Linotype" w:hAnsi="Palatino Linotype" w:cs="Arial"/>
          <w:i/>
          <w:sz w:val="24"/>
          <w:szCs w:val="24"/>
        </w:rPr>
        <w:t>”</w:t>
      </w:r>
      <w:r w:rsidR="00265990">
        <w:rPr>
          <w:rFonts w:ascii="Palatino Linotype" w:hAnsi="Palatino Linotype" w:cs="Arial"/>
          <w:sz w:val="24"/>
          <w:szCs w:val="24"/>
        </w:rPr>
        <w:t xml:space="preserve"> mediante el cual ofreció pruebas y alegatos, esencialmente solicitando la entrega de la información y, por otro lado, solicitando se apliquen medidas de apremio al </w:t>
      </w:r>
      <w:r w:rsidR="00265990">
        <w:rPr>
          <w:rFonts w:ascii="Palatino Linotype" w:hAnsi="Palatino Linotype" w:cs="Arial"/>
          <w:b/>
          <w:sz w:val="24"/>
          <w:szCs w:val="24"/>
        </w:rPr>
        <w:t>SUJETO OBLIGADO</w:t>
      </w:r>
      <w:r w:rsidR="00265990">
        <w:rPr>
          <w:rFonts w:ascii="Palatino Linotype" w:hAnsi="Palatino Linotype" w:cs="Arial"/>
          <w:sz w:val="24"/>
          <w:szCs w:val="24"/>
        </w:rPr>
        <w:t xml:space="preserve"> por la falta de respuesta.</w:t>
      </w:r>
    </w:p>
    <w:p w:rsidR="00AC4562" w:rsidRDefault="00AC4562" w:rsidP="00AC4562">
      <w:pPr>
        <w:pStyle w:val="Prrafodelista"/>
        <w:tabs>
          <w:tab w:val="left" w:pos="426"/>
        </w:tabs>
        <w:spacing w:before="240" w:after="240" w:line="360" w:lineRule="auto"/>
        <w:ind w:left="0"/>
        <w:jc w:val="both"/>
        <w:rPr>
          <w:rFonts w:ascii="Palatino Linotype" w:hAnsi="Palatino Linotype" w:cs="Arial"/>
          <w:sz w:val="24"/>
          <w:szCs w:val="24"/>
        </w:rPr>
      </w:pPr>
    </w:p>
    <w:p w:rsidR="00651380" w:rsidRDefault="00AC4562" w:rsidP="0066423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P</w:t>
      </w:r>
      <w:r w:rsidR="00664234">
        <w:rPr>
          <w:rFonts w:ascii="Palatino Linotype" w:hAnsi="Palatino Linotype" w:cs="Arial"/>
          <w:sz w:val="24"/>
          <w:szCs w:val="24"/>
        </w:rPr>
        <w:t>or lo que habiendo expuesto los antecedentes del expediente del recurso de revisión que al rubro se indica, me permito formular el presente voto particular.</w:t>
      </w:r>
    </w:p>
    <w:p w:rsidR="00664234" w:rsidRPr="00651380" w:rsidRDefault="00664234" w:rsidP="00664234">
      <w:pPr>
        <w:pStyle w:val="Prrafodelista"/>
        <w:tabs>
          <w:tab w:val="left" w:pos="426"/>
        </w:tabs>
        <w:spacing w:before="240" w:after="240" w:line="360" w:lineRule="auto"/>
        <w:ind w:left="0" w:right="49"/>
        <w:jc w:val="both"/>
        <w:rPr>
          <w:rFonts w:ascii="Palatino Linotype" w:hAnsi="Palatino Linotype" w:cs="Arial"/>
          <w:sz w:val="24"/>
          <w:szCs w:val="24"/>
        </w:rPr>
      </w:pPr>
    </w:p>
    <w:p w:rsidR="0046491C" w:rsidRPr="0001046D" w:rsidRDefault="00664234" w:rsidP="00664234">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2" w:name="_Toc535250102"/>
      <w:r>
        <w:rPr>
          <w:rFonts w:ascii="Palatino Linotype" w:hAnsi="Palatino Linotype"/>
          <w:b/>
          <w:color w:val="auto"/>
          <w:sz w:val="24"/>
          <w:szCs w:val="24"/>
        </w:rPr>
        <w:t>De la respuesta otorgada por el SUJETO OBLIGADO</w:t>
      </w:r>
      <w:r w:rsidR="0046491C" w:rsidRPr="0001046D">
        <w:rPr>
          <w:rFonts w:ascii="Palatino Linotype" w:hAnsi="Palatino Linotype"/>
          <w:b/>
          <w:color w:val="auto"/>
          <w:sz w:val="24"/>
          <w:szCs w:val="24"/>
        </w:rPr>
        <w:t>.</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664234" w:rsidRDefault="00265990" w:rsidP="00265990">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refirió al particular que la información solicitada formaba parte de sus obligaciones de información pública de oficio, por lo que ésta podía ser consultada a través de la página web </w:t>
      </w:r>
      <w:r w:rsidRPr="00265990">
        <w:rPr>
          <w:rFonts w:ascii="Palatino Linotype" w:hAnsi="Palatino Linotype" w:cs="Arial"/>
          <w:i/>
          <w:sz w:val="24"/>
          <w:szCs w:val="24"/>
        </w:rPr>
        <w:t>https</w:t>
      </w:r>
      <w:proofErr w:type="gramStart"/>
      <w:r w:rsidRPr="00265990">
        <w:rPr>
          <w:rFonts w:ascii="Palatino Linotype" w:hAnsi="Palatino Linotype" w:cs="Arial"/>
          <w:i/>
          <w:sz w:val="24"/>
          <w:szCs w:val="24"/>
        </w:rPr>
        <w:t>:/</w:t>
      </w:r>
      <w:proofErr w:type="gramEnd"/>
      <w:r w:rsidRPr="00265990">
        <w:rPr>
          <w:rFonts w:ascii="Palatino Linotype" w:hAnsi="Palatino Linotype" w:cs="Arial"/>
          <w:i/>
          <w:sz w:val="24"/>
          <w:szCs w:val="24"/>
        </w:rPr>
        <w:t>/www.ipomex.org.mx/ipo/lgt/indice/mexicaltzingo.web</w:t>
      </w:r>
      <w:r>
        <w:rPr>
          <w:rFonts w:ascii="Palatino Linotype" w:hAnsi="Palatino Linotype" w:cs="Arial"/>
          <w:i/>
          <w:sz w:val="24"/>
          <w:szCs w:val="24"/>
        </w:rPr>
        <w:t xml:space="preserve">, </w:t>
      </w:r>
      <w:r w:rsidRPr="00265990">
        <w:rPr>
          <w:rFonts w:ascii="Palatino Linotype" w:hAnsi="Palatino Linotype" w:cs="Arial"/>
          <w:sz w:val="24"/>
          <w:szCs w:val="24"/>
        </w:rPr>
        <w:t xml:space="preserve">al </w:t>
      </w:r>
      <w:r>
        <w:rPr>
          <w:rFonts w:ascii="Palatino Linotype" w:hAnsi="Palatino Linotype" w:cs="Arial"/>
          <w:sz w:val="24"/>
          <w:szCs w:val="24"/>
        </w:rPr>
        <w:t xml:space="preserve">tiempo que comunicó que la administración municipal se encontraba realizando actualmente esfuerzos para dar cumplimiento a las disposiciones de trasparencia , por lo que </w:t>
      </w:r>
      <w:proofErr w:type="spellStart"/>
      <w:r>
        <w:rPr>
          <w:rFonts w:ascii="Palatino Linotype" w:hAnsi="Palatino Linotype" w:cs="Arial"/>
          <w:sz w:val="24"/>
          <w:szCs w:val="24"/>
        </w:rPr>
        <w:t>continaban</w:t>
      </w:r>
      <w:proofErr w:type="spellEnd"/>
      <w:r>
        <w:rPr>
          <w:rFonts w:ascii="Palatino Linotype" w:hAnsi="Palatino Linotype" w:cs="Arial"/>
          <w:sz w:val="24"/>
          <w:szCs w:val="24"/>
        </w:rPr>
        <w:t xml:space="preserve"> actualizando el sitio electrónico.</w:t>
      </w:r>
    </w:p>
    <w:p w:rsidR="00664234" w:rsidRPr="0001046D" w:rsidRDefault="00664234" w:rsidP="00664234">
      <w:pPr>
        <w:pStyle w:val="Prrafodelista"/>
        <w:tabs>
          <w:tab w:val="left" w:pos="426"/>
        </w:tabs>
        <w:spacing w:after="0" w:line="360" w:lineRule="auto"/>
        <w:ind w:left="0" w:right="49"/>
        <w:jc w:val="both"/>
        <w:rPr>
          <w:rFonts w:ascii="Palatino Linotype" w:hAnsi="Palatino Linotype" w:cs="Arial"/>
          <w:sz w:val="24"/>
          <w:szCs w:val="24"/>
        </w:rPr>
      </w:pPr>
    </w:p>
    <w:p w:rsidR="0046491C" w:rsidRDefault="00265990"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 xml:space="preserve">Sin embargo, como bien fue manifestado por la Ponencia Resolutora, varios rubros de la plataforma IPOMEX del </w:t>
      </w:r>
      <w:r>
        <w:rPr>
          <w:rFonts w:ascii="Palatino Linotype" w:hAnsi="Palatino Linotype" w:cs="Arial"/>
          <w:b/>
          <w:sz w:val="24"/>
          <w:szCs w:val="24"/>
        </w:rPr>
        <w:t>SUJETO OBLIGADO</w:t>
      </w:r>
      <w:r>
        <w:rPr>
          <w:rFonts w:ascii="Palatino Linotype" w:hAnsi="Palatino Linotype" w:cs="Arial"/>
          <w:sz w:val="24"/>
          <w:szCs w:val="24"/>
        </w:rPr>
        <w:t xml:space="preserve"> se encontraban vacíos o incompletos.</w:t>
      </w:r>
    </w:p>
    <w:p w:rsidR="00B865E5" w:rsidRDefault="00B865E5" w:rsidP="00664234">
      <w:pPr>
        <w:pStyle w:val="Prrafodelista"/>
        <w:tabs>
          <w:tab w:val="left" w:pos="426"/>
        </w:tabs>
        <w:spacing w:after="0" w:line="360" w:lineRule="auto"/>
        <w:ind w:left="0"/>
        <w:jc w:val="both"/>
        <w:rPr>
          <w:rFonts w:ascii="Palatino Linotype" w:hAnsi="Palatino Linotype" w:cs="Arial"/>
          <w:sz w:val="24"/>
          <w:szCs w:val="24"/>
        </w:rPr>
      </w:pPr>
    </w:p>
    <w:p w:rsidR="00801F0B" w:rsidRDefault="00265990" w:rsidP="00915A37">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De tal manera que de manera esencial partió de la obligación contenida en el artículo 4 de la Ley de Transparencia y Acceso a la Información P</w:t>
      </w:r>
      <w:r w:rsidR="00915A37">
        <w:rPr>
          <w:rFonts w:ascii="Palatino Linotype" w:hAnsi="Palatino Linotype" w:cs="Arial"/>
          <w:sz w:val="24"/>
          <w:szCs w:val="24"/>
        </w:rPr>
        <w:t xml:space="preserve">ública del Estado de México y Municipios, el cual manifiesta que </w:t>
      </w:r>
      <w:r w:rsidR="00915A37" w:rsidRPr="00915A37">
        <w:rPr>
          <w:rFonts w:ascii="Palatino Linotype" w:hAnsi="Palatino Linotype" w:cs="Arial"/>
          <w:sz w:val="24"/>
          <w:szCs w:val="24"/>
        </w:rPr>
        <w:t>toda la información generada, obtenida, adquirida, transformada, administrada o en posesión de los sujetos obligados es pública y accesible de manera permanente a cualquier persona, privilegiando el principio de máxima publicidad</w:t>
      </w:r>
      <w:r w:rsidR="00915A37">
        <w:rPr>
          <w:rFonts w:ascii="Palatino Linotype" w:hAnsi="Palatino Linotype" w:cs="Arial"/>
          <w:sz w:val="24"/>
          <w:szCs w:val="24"/>
        </w:rPr>
        <w:t>.</w:t>
      </w:r>
    </w:p>
    <w:p w:rsidR="00181BBE" w:rsidRDefault="00181BBE" w:rsidP="00181BBE">
      <w:pPr>
        <w:pStyle w:val="Prrafodelista"/>
        <w:tabs>
          <w:tab w:val="left" w:pos="426"/>
        </w:tabs>
        <w:spacing w:after="0" w:line="360" w:lineRule="auto"/>
        <w:ind w:left="0"/>
        <w:jc w:val="both"/>
        <w:rPr>
          <w:rFonts w:ascii="Palatino Linotype" w:hAnsi="Palatino Linotype" w:cs="Arial"/>
          <w:sz w:val="24"/>
          <w:szCs w:val="24"/>
        </w:rPr>
      </w:pPr>
    </w:p>
    <w:p w:rsidR="00915A37" w:rsidRDefault="00915A37" w:rsidP="00915A37">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Asimismo, manifestó la obligación de los Sujetos Obligados de atender todas las solicitudes de información proporcionando la información pública que obre en sus archivos, de conformidad con el artículo 12 de la Ley de la Materia, el cual dice lo siguiente:</w:t>
      </w:r>
    </w:p>
    <w:p w:rsidR="00915A37" w:rsidRDefault="00915A37" w:rsidP="00915A37">
      <w:pPr>
        <w:pStyle w:val="Prrafodelista"/>
        <w:tabs>
          <w:tab w:val="left" w:pos="426"/>
        </w:tabs>
        <w:spacing w:after="0" w:line="360" w:lineRule="auto"/>
        <w:ind w:left="0"/>
        <w:jc w:val="both"/>
        <w:rPr>
          <w:rFonts w:ascii="Palatino Linotype" w:hAnsi="Palatino Linotype" w:cs="Arial"/>
          <w:sz w:val="24"/>
          <w:szCs w:val="24"/>
        </w:rPr>
      </w:pPr>
    </w:p>
    <w:p w:rsidR="00915A37" w:rsidRPr="00915A37" w:rsidRDefault="00915A37" w:rsidP="00915A37">
      <w:pPr>
        <w:ind w:left="567" w:right="567"/>
        <w:jc w:val="both"/>
        <w:rPr>
          <w:rFonts w:ascii="Palatino Linotype" w:hAnsi="Palatino Linotype"/>
          <w:i/>
        </w:rPr>
      </w:pPr>
      <w:r w:rsidRPr="00915A37">
        <w:rPr>
          <w:rFonts w:ascii="Palatino Linotype" w:hAnsi="Palatino Linotype"/>
          <w:i/>
        </w:rPr>
        <w:t xml:space="preserve">“Artículo12.- Quienes generen, recopilen, administren, manejen, procesen, archiven o conserven información pública serán responsables de la misma en los términos de las disposiciones jurídicas aplicables. </w:t>
      </w:r>
    </w:p>
    <w:p w:rsidR="00915A37" w:rsidRPr="00915A37" w:rsidRDefault="00915A37" w:rsidP="00915A37">
      <w:pPr>
        <w:ind w:left="567" w:right="567"/>
        <w:jc w:val="both"/>
        <w:rPr>
          <w:rFonts w:ascii="Palatino Linotype" w:hAnsi="Palatino Linotype" w:cs="Arial"/>
          <w:i/>
          <w:sz w:val="24"/>
          <w:szCs w:val="24"/>
        </w:rPr>
      </w:pPr>
      <w:r w:rsidRPr="00915A37">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915A37" w:rsidRDefault="00915A37" w:rsidP="00915A37">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 xml:space="preserve">En razón de lo anterior, la Ponencia Resolutora determinó a bien realizar un análisis a fondo de la competencia del </w:t>
      </w:r>
      <w:r>
        <w:rPr>
          <w:rFonts w:ascii="Palatino Linotype" w:hAnsi="Palatino Linotype" w:cs="Arial"/>
          <w:b/>
          <w:sz w:val="24"/>
          <w:szCs w:val="24"/>
        </w:rPr>
        <w:t>SUJETO OBLIGADO</w:t>
      </w:r>
      <w:r>
        <w:rPr>
          <w:rFonts w:ascii="Palatino Linotype" w:hAnsi="Palatino Linotype" w:cs="Arial"/>
          <w:sz w:val="24"/>
          <w:szCs w:val="24"/>
        </w:rPr>
        <w:t xml:space="preserve"> para poseer, generar y administrar la información contenida en </w:t>
      </w:r>
      <w:r w:rsidRPr="00915A37">
        <w:rPr>
          <w:rFonts w:ascii="Palatino Linotype" w:hAnsi="Palatino Linotype" w:cs="Arial"/>
          <w:sz w:val="24"/>
          <w:szCs w:val="24"/>
        </w:rPr>
        <w:t>descrita en el artículo 92 fracciones II, VIII, X, XII, XXV, XXVI, XXVIII, XXX, XXXV, XXXVIII, XL, XLVII</w:t>
      </w:r>
      <w:r>
        <w:rPr>
          <w:rFonts w:ascii="Palatino Linotype" w:hAnsi="Palatino Linotype" w:cs="Arial"/>
          <w:sz w:val="24"/>
          <w:szCs w:val="24"/>
        </w:rPr>
        <w:t xml:space="preserve">; así como el </w:t>
      </w:r>
      <w:r w:rsidRPr="00915A37">
        <w:rPr>
          <w:rFonts w:ascii="Palatino Linotype" w:hAnsi="Palatino Linotype" w:cs="Arial"/>
          <w:sz w:val="24"/>
          <w:szCs w:val="24"/>
        </w:rPr>
        <w:t>94, fracción I, inciso b), d) y f)</w:t>
      </w:r>
      <w:r>
        <w:rPr>
          <w:rFonts w:ascii="Palatino Linotype" w:hAnsi="Palatino Linotype" w:cs="Arial"/>
          <w:sz w:val="24"/>
          <w:szCs w:val="24"/>
        </w:rPr>
        <w:t xml:space="preserve"> </w:t>
      </w:r>
      <w:r w:rsidRPr="00915A37">
        <w:rPr>
          <w:rFonts w:ascii="Palatino Linotype" w:hAnsi="Palatino Linotype" w:cs="Arial"/>
          <w:sz w:val="24"/>
          <w:szCs w:val="24"/>
        </w:rPr>
        <w:t>de la Ley de Transparencia, Acceso a la Información Pública de</w:t>
      </w:r>
      <w:r>
        <w:rPr>
          <w:rFonts w:ascii="Palatino Linotype" w:hAnsi="Palatino Linotype" w:cs="Arial"/>
          <w:sz w:val="24"/>
          <w:szCs w:val="24"/>
        </w:rPr>
        <w:t>l Estado de México y Municipios.</w:t>
      </w:r>
    </w:p>
    <w:p w:rsidR="00915A37" w:rsidRDefault="00915A37" w:rsidP="00915A37">
      <w:pPr>
        <w:pStyle w:val="Prrafodelista"/>
        <w:tabs>
          <w:tab w:val="left" w:pos="426"/>
        </w:tabs>
        <w:spacing w:after="0" w:line="360" w:lineRule="auto"/>
        <w:ind w:left="0"/>
        <w:jc w:val="both"/>
        <w:rPr>
          <w:rFonts w:ascii="Palatino Linotype" w:hAnsi="Palatino Linotype" w:cs="Arial"/>
          <w:sz w:val="24"/>
          <w:szCs w:val="24"/>
        </w:rPr>
      </w:pPr>
    </w:p>
    <w:p w:rsidR="00915A37" w:rsidRDefault="00915A37" w:rsidP="00915A37">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Derivado del estudio realizado por la Ponencia Resolutora, coincidió con el particular en que efectivamente, toda la información solicitada debía ya encontrarse actualmente en su plataforma IPOMEX, por lo que determinó ordenar al </w:t>
      </w:r>
      <w:r>
        <w:rPr>
          <w:rFonts w:ascii="Palatino Linotype" w:hAnsi="Palatino Linotype" w:cs="Arial"/>
          <w:b/>
          <w:sz w:val="24"/>
          <w:szCs w:val="24"/>
        </w:rPr>
        <w:t>SUJETO OBLIGADO</w:t>
      </w:r>
      <w:r>
        <w:rPr>
          <w:rFonts w:ascii="Palatino Linotype" w:hAnsi="Palatino Linotype" w:cs="Arial"/>
          <w:sz w:val="24"/>
          <w:szCs w:val="24"/>
        </w:rPr>
        <w:tab/>
        <w:t>entregar la información vía SAIMEX y el correo electrónico del particular.</w:t>
      </w:r>
    </w:p>
    <w:p w:rsidR="00915A37" w:rsidRDefault="00915A37" w:rsidP="00915A37">
      <w:pPr>
        <w:pStyle w:val="Prrafodelista"/>
        <w:tabs>
          <w:tab w:val="left" w:pos="426"/>
        </w:tabs>
        <w:spacing w:after="0" w:line="360" w:lineRule="auto"/>
        <w:ind w:left="0"/>
        <w:jc w:val="both"/>
        <w:rPr>
          <w:rFonts w:ascii="Palatino Linotype" w:hAnsi="Palatino Linotype" w:cs="Arial"/>
          <w:sz w:val="24"/>
          <w:szCs w:val="24"/>
        </w:rPr>
      </w:pPr>
    </w:p>
    <w:p w:rsidR="00915A37" w:rsidRDefault="00915A37" w:rsidP="00915A37">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Sin embargo, si bien es totalmente cierto que toda la información requerida por el particular ya debería obrar en la plataforma IPOMEX, y que la misma, por ende, ya debería encontrarse digitalizada, también lo es que el volumen de información es especialmente grande al solicitar</w:t>
      </w:r>
      <w:r w:rsidR="0086185D">
        <w:rPr>
          <w:rFonts w:ascii="Palatino Linotype" w:hAnsi="Palatino Linotype" w:cs="Arial"/>
          <w:sz w:val="24"/>
          <w:szCs w:val="24"/>
        </w:rPr>
        <w:t xml:space="preserve"> información referente a quince (15) fracciones inherentes a los numerales 92 y 94 de nuestra Ley de Transparencia y Acceso a la Información Pública del Estado de México y Municipios.</w:t>
      </w:r>
    </w:p>
    <w:p w:rsidR="00915A37" w:rsidRDefault="00915A37" w:rsidP="00915A37">
      <w:pPr>
        <w:pStyle w:val="Prrafodelista"/>
        <w:tabs>
          <w:tab w:val="left" w:pos="426"/>
        </w:tabs>
        <w:spacing w:after="0" w:line="360" w:lineRule="auto"/>
        <w:ind w:left="0"/>
        <w:jc w:val="both"/>
        <w:rPr>
          <w:rFonts w:ascii="Palatino Linotype" w:hAnsi="Palatino Linotype" w:cs="Arial"/>
          <w:sz w:val="24"/>
          <w:szCs w:val="24"/>
        </w:rPr>
      </w:pPr>
    </w:p>
    <w:p w:rsidR="00915A37" w:rsidRDefault="0086185D" w:rsidP="00915A37">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Por lo que, aparte de haber hecho un estudio de la versión pública sobre los documentos que requiriesen clasificarse por su contenido, considero que debió </w:t>
      </w:r>
      <w:r>
        <w:rPr>
          <w:rFonts w:ascii="Palatino Linotype" w:hAnsi="Palatino Linotype" w:cs="Arial"/>
          <w:sz w:val="24"/>
          <w:szCs w:val="24"/>
        </w:rPr>
        <w:lastRenderedPageBreak/>
        <w:t>analizar la posibilidad de cambiar la modalidad de entrega de la información a consulta directa en atención a lo siguiente:</w:t>
      </w:r>
    </w:p>
    <w:p w:rsidR="00915A37" w:rsidRDefault="00915A37" w:rsidP="00915A37">
      <w:pPr>
        <w:pStyle w:val="Prrafodelista"/>
        <w:tabs>
          <w:tab w:val="left" w:pos="426"/>
        </w:tabs>
        <w:spacing w:after="0" w:line="360" w:lineRule="auto"/>
        <w:ind w:left="0"/>
        <w:jc w:val="both"/>
        <w:rPr>
          <w:rFonts w:ascii="Palatino Linotype" w:hAnsi="Palatino Linotype" w:cs="Arial"/>
          <w:sz w:val="24"/>
          <w:szCs w:val="24"/>
        </w:rPr>
      </w:pPr>
    </w:p>
    <w:p w:rsidR="00915A37" w:rsidRDefault="0086185D" w:rsidP="00915A37">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El </w:t>
      </w:r>
      <w:r w:rsidRPr="0086185D">
        <w:rPr>
          <w:rFonts w:ascii="Palatino Linotype" w:hAnsi="Palatino Linotype"/>
          <w:sz w:val="24"/>
        </w:rPr>
        <w:t xml:space="preserve">artículo </w:t>
      </w:r>
      <w:r>
        <w:rPr>
          <w:rFonts w:ascii="Palatino Linotype" w:hAnsi="Palatino Linotype"/>
          <w:sz w:val="24"/>
        </w:rPr>
        <w:t>164</w:t>
      </w:r>
      <w:r w:rsidRPr="0086185D">
        <w:rPr>
          <w:rFonts w:ascii="Palatino Linotype" w:hAnsi="Palatino Linotype"/>
          <w:sz w:val="24"/>
        </w:rPr>
        <w:t xml:space="preserve"> de la Ley de transparencia de nuestra entidad, establece que </w:t>
      </w:r>
      <w:r>
        <w:rPr>
          <w:rFonts w:ascii="Palatino Linotype" w:hAnsi="Palatino Linotype"/>
          <w:sz w:val="24"/>
        </w:rPr>
        <w:t>los sujetos obligados deberán ofrecer el cambio de modalidad cuando determinen que la información no pueda entregarse en la vía solicitada, fundando y motivando la necesidad de hacerlo:</w:t>
      </w:r>
    </w:p>
    <w:p w:rsidR="0086185D" w:rsidRPr="00945593" w:rsidRDefault="0086185D" w:rsidP="0086185D">
      <w:pPr>
        <w:pStyle w:val="Prrafodelista"/>
        <w:shd w:val="clear" w:color="auto" w:fill="FFFFFF"/>
        <w:tabs>
          <w:tab w:val="left" w:pos="284"/>
          <w:tab w:val="left" w:pos="426"/>
        </w:tabs>
        <w:spacing w:after="120" w:line="360" w:lineRule="auto"/>
        <w:ind w:left="567" w:right="567"/>
        <w:jc w:val="both"/>
        <w:rPr>
          <w:rFonts w:ascii="Palatino Linotype" w:hAnsi="Palatino Linotype"/>
          <w:b/>
          <w:i/>
        </w:rPr>
      </w:pPr>
      <w:r w:rsidRPr="00945593">
        <w:rPr>
          <w:rFonts w:ascii="Palatino Linotype" w:hAnsi="Palatino Linotype"/>
          <w:b/>
          <w:i/>
        </w:rPr>
        <w:t>Artículo 164.</w:t>
      </w:r>
      <w:r w:rsidRPr="00945593">
        <w:rPr>
          <w:rFonts w:ascii="Palatino Linotype" w:hAnsi="Palatino Linotype"/>
          <w:i/>
        </w:rPr>
        <w:t xml:space="preserve"> El acceso se dará en la modalidad de entrega y, en su caso, de envío elegidos por el solicitante. </w:t>
      </w:r>
      <w:r w:rsidRPr="00945593">
        <w:rPr>
          <w:rFonts w:ascii="Palatino Linotype" w:hAnsi="Palatino Linotype"/>
          <w:b/>
          <w:i/>
        </w:rPr>
        <w:t xml:space="preserve">Cuando la información no pueda entregarse o enviarse en la modalidad solicitada, el sujeto obligado deberá ofrecer otra u otras modalidades de entrega. </w:t>
      </w:r>
    </w:p>
    <w:p w:rsidR="0086185D" w:rsidRDefault="0086185D" w:rsidP="0086185D">
      <w:pPr>
        <w:pStyle w:val="Prrafodelista"/>
        <w:shd w:val="clear" w:color="auto" w:fill="FFFFFF"/>
        <w:tabs>
          <w:tab w:val="left" w:pos="284"/>
          <w:tab w:val="left" w:pos="426"/>
        </w:tabs>
        <w:spacing w:after="120" w:line="360" w:lineRule="auto"/>
        <w:ind w:left="567" w:right="567"/>
        <w:jc w:val="both"/>
        <w:rPr>
          <w:rFonts w:ascii="Palatino Linotype" w:hAnsi="Palatino Linotype"/>
        </w:rPr>
      </w:pPr>
      <w:r w:rsidRPr="00945593">
        <w:rPr>
          <w:rFonts w:ascii="Palatino Linotype" w:hAnsi="Palatino Linotype"/>
          <w:b/>
          <w:i/>
        </w:rPr>
        <w:t>En cualquier caso, se deberá fundar y motivar la necesidad de ofrecer otras modalidades</w:t>
      </w:r>
      <w:r>
        <w:rPr>
          <w:rFonts w:ascii="Palatino Linotype" w:hAnsi="Palatino Linotype"/>
          <w:b/>
          <w:i/>
        </w:rPr>
        <w:t>.</w:t>
      </w:r>
    </w:p>
    <w:p w:rsidR="0086185D" w:rsidRPr="0086185D" w:rsidRDefault="0086185D" w:rsidP="0086185D">
      <w:pPr>
        <w:pStyle w:val="Prrafodelista"/>
        <w:shd w:val="clear" w:color="auto" w:fill="FFFFFF"/>
        <w:tabs>
          <w:tab w:val="left" w:pos="284"/>
          <w:tab w:val="left" w:pos="426"/>
        </w:tabs>
        <w:spacing w:after="120" w:line="360" w:lineRule="auto"/>
        <w:ind w:left="567" w:right="567"/>
        <w:jc w:val="both"/>
        <w:rPr>
          <w:rFonts w:ascii="Palatino Linotype" w:hAnsi="Palatino Linotype" w:cs="Arial"/>
          <w:color w:val="000000" w:themeColor="text1"/>
        </w:rPr>
      </w:pPr>
      <w:r>
        <w:rPr>
          <w:rFonts w:ascii="Palatino Linotype" w:hAnsi="Palatino Linotype" w:cs="Arial"/>
          <w:color w:val="000000" w:themeColor="text1"/>
        </w:rPr>
        <w:t>(Énfasis añadido)</w:t>
      </w:r>
    </w:p>
    <w:p w:rsidR="0086185D" w:rsidRDefault="0086185D" w:rsidP="00915A37">
      <w:pPr>
        <w:pStyle w:val="Prrafodelista"/>
        <w:tabs>
          <w:tab w:val="left" w:pos="426"/>
        </w:tabs>
        <w:spacing w:after="0" w:line="360" w:lineRule="auto"/>
        <w:ind w:left="0"/>
        <w:jc w:val="both"/>
        <w:rPr>
          <w:rFonts w:ascii="Palatino Linotype" w:hAnsi="Palatino Linotype" w:cs="Arial"/>
          <w:sz w:val="24"/>
          <w:szCs w:val="24"/>
        </w:rPr>
      </w:pPr>
    </w:p>
    <w:p w:rsidR="00915A37" w:rsidRDefault="0086185D" w:rsidP="00915A37">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Partiendo de lo anterior, el Órgano Garante resulta ser el ente público protector del derecho de acceso a la información pública, por lo que, dentro del caso que éste note la posible deficiencia técnica para hacer entrega de la información en la modalidad solicitada, debería suplir cualquier posible contratiempo y ordenar entregar la información en la modalidad más eficaz y rápida posible para </w:t>
      </w:r>
      <w:proofErr w:type="spellStart"/>
      <w:r>
        <w:rPr>
          <w:rFonts w:ascii="Palatino Linotype" w:hAnsi="Palatino Linotype" w:cs="Arial"/>
          <w:sz w:val="24"/>
          <w:szCs w:val="24"/>
        </w:rPr>
        <w:t>evotar</w:t>
      </w:r>
      <w:proofErr w:type="spellEnd"/>
      <w:r>
        <w:rPr>
          <w:rFonts w:ascii="Palatino Linotype" w:hAnsi="Palatino Linotype" w:cs="Arial"/>
          <w:sz w:val="24"/>
          <w:szCs w:val="24"/>
        </w:rPr>
        <w:t xml:space="preserve"> mayores daños a la esfera jurídica del particular, los cuales no debe ignorarse que ya se encuentran agraviados y es por ello que requirió al Órgano Garante recurriendo la respuesta que le hubiere sido otorgada.</w:t>
      </w:r>
    </w:p>
    <w:p w:rsidR="00915A37" w:rsidRDefault="0086185D" w:rsidP="000E41D7">
      <w:pPr>
        <w:pStyle w:val="Prrafodelista"/>
        <w:numPr>
          <w:ilvl w:val="0"/>
          <w:numId w:val="1"/>
        </w:numPr>
        <w:tabs>
          <w:tab w:val="left" w:pos="426"/>
          <w:tab w:val="left" w:pos="709"/>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 xml:space="preserve">Como es en el caso particular, el </w:t>
      </w:r>
      <w:r>
        <w:rPr>
          <w:rFonts w:ascii="Palatino Linotype" w:hAnsi="Palatino Linotype" w:cs="Arial"/>
          <w:b/>
          <w:sz w:val="24"/>
          <w:szCs w:val="24"/>
        </w:rPr>
        <w:t xml:space="preserve">RECURRENTE </w:t>
      </w:r>
      <w:r>
        <w:rPr>
          <w:rFonts w:ascii="Palatino Linotype" w:hAnsi="Palatino Linotype" w:cs="Arial"/>
          <w:sz w:val="24"/>
          <w:szCs w:val="24"/>
        </w:rPr>
        <w:t xml:space="preserve">pidió la información relativa al artículo 92 fracciones </w:t>
      </w:r>
      <w:r w:rsidRPr="0086185D">
        <w:rPr>
          <w:rFonts w:ascii="Palatino Linotype" w:hAnsi="Palatino Linotype" w:cs="Arial"/>
          <w:sz w:val="24"/>
          <w:szCs w:val="24"/>
        </w:rPr>
        <w:t>II, VIII, X, XII, XXV, XXVI, XXVIII, XXX, XXXV, XXXVIII, XL, XLVII</w:t>
      </w:r>
      <w:r>
        <w:rPr>
          <w:rFonts w:ascii="Palatino Linotype" w:hAnsi="Palatino Linotype" w:cs="Arial"/>
          <w:sz w:val="24"/>
          <w:szCs w:val="24"/>
        </w:rPr>
        <w:t xml:space="preserve"> y </w:t>
      </w:r>
      <w:r w:rsidR="000E41D7">
        <w:rPr>
          <w:rFonts w:ascii="Palatino Linotype" w:hAnsi="Palatino Linotype" w:cs="Arial"/>
          <w:sz w:val="24"/>
          <w:szCs w:val="24"/>
        </w:rPr>
        <w:t>94 fracción I, incisos b), d) y f); por lo que el ordenar entregar la información a través de correo electrónico puede ocasionar fallas en su envío o incluso la total posibilidad por el tamaño del propio volumen.</w:t>
      </w:r>
    </w:p>
    <w:p w:rsidR="00915A37" w:rsidRDefault="00915A37" w:rsidP="00915A37">
      <w:pPr>
        <w:pStyle w:val="Prrafodelista"/>
        <w:tabs>
          <w:tab w:val="left" w:pos="426"/>
        </w:tabs>
        <w:spacing w:after="0" w:line="360" w:lineRule="auto"/>
        <w:ind w:left="0"/>
        <w:jc w:val="both"/>
        <w:rPr>
          <w:rFonts w:ascii="Palatino Linotype" w:hAnsi="Palatino Linotype" w:cs="Arial"/>
          <w:sz w:val="24"/>
          <w:szCs w:val="24"/>
        </w:rPr>
      </w:pPr>
    </w:p>
    <w:p w:rsidR="00915A37" w:rsidRDefault="000E41D7" w:rsidP="00915A37">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De tal manera que a mi consideración, el paquete de información referente a los numerales 92 y 94 de la Ley de Transparencia y Acceso a la Información Pública del Estado de México y Municipios debió haberse considerado ordenar vía consulta directa, a efecto de prevenir cualquier contratiempo técnico que pudiera enfrentar el </w:t>
      </w:r>
      <w:r>
        <w:rPr>
          <w:rFonts w:ascii="Palatino Linotype" w:hAnsi="Palatino Linotype" w:cs="Arial"/>
          <w:b/>
          <w:sz w:val="24"/>
          <w:szCs w:val="24"/>
        </w:rPr>
        <w:t>SUJETO OBLIGADO</w:t>
      </w:r>
      <w:r>
        <w:rPr>
          <w:rFonts w:ascii="Palatino Linotype" w:hAnsi="Palatino Linotype" w:cs="Arial"/>
          <w:sz w:val="24"/>
          <w:szCs w:val="24"/>
        </w:rPr>
        <w:t xml:space="preserve"> durante el seguimiento de la resolución a efecto de dar cabal respuesta al particular.</w:t>
      </w:r>
    </w:p>
    <w:p w:rsidR="0046491C" w:rsidRDefault="0046491C" w:rsidP="00E34F08">
      <w:pPr>
        <w:spacing w:line="360" w:lineRule="auto"/>
        <w:rPr>
          <w:rFonts w:ascii="Palatino Linotype" w:hAnsi="Palatino Linotype"/>
          <w:sz w:val="24"/>
          <w:szCs w:val="24"/>
        </w:rPr>
      </w:pPr>
    </w:p>
    <w:p w:rsidR="00346DBD" w:rsidRDefault="00346DBD" w:rsidP="00E34F08">
      <w:pPr>
        <w:spacing w:line="360" w:lineRule="auto"/>
        <w:rPr>
          <w:rFonts w:ascii="Palatino Linotype" w:hAnsi="Palatino Linotype"/>
          <w:sz w:val="24"/>
          <w:szCs w:val="24"/>
        </w:rPr>
      </w:pPr>
    </w:p>
    <w:p w:rsidR="009156AC" w:rsidRPr="0001046D" w:rsidRDefault="009156AC" w:rsidP="00E34F08">
      <w:pPr>
        <w:spacing w:line="360" w:lineRule="auto"/>
        <w:rPr>
          <w:rFonts w:ascii="Palatino Linotype" w:hAnsi="Palatino Linotype"/>
          <w:sz w:val="24"/>
          <w:szCs w:val="24"/>
        </w:rPr>
      </w:pPr>
    </w:p>
    <w:p w:rsidR="000E41D7" w:rsidRDefault="000E41D7" w:rsidP="00E34F08">
      <w:pPr>
        <w:pStyle w:val="Sinespaciado"/>
        <w:spacing w:line="360" w:lineRule="auto"/>
        <w:jc w:val="center"/>
        <w:rPr>
          <w:rFonts w:ascii="Palatino Linotype" w:hAnsi="Palatino Linotype"/>
          <w:b/>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Default="0046491C" w:rsidP="005C3F61">
      <w:pPr>
        <w:spacing w:line="240" w:lineRule="auto"/>
        <w:jc w:val="center"/>
        <w:rPr>
          <w:rFonts w:ascii="Palatino Linotype" w:hAnsi="Palatino Linotype"/>
          <w:b/>
          <w:sz w:val="24"/>
          <w:szCs w:val="24"/>
        </w:rPr>
      </w:pPr>
      <w:r w:rsidRPr="0001046D">
        <w:rPr>
          <w:rFonts w:ascii="Palatino Linotype" w:hAnsi="Palatino Linotype"/>
          <w:b/>
          <w:sz w:val="24"/>
          <w:szCs w:val="24"/>
        </w:rPr>
        <w:t>COMISIONADO</w:t>
      </w:r>
    </w:p>
    <w:p w:rsidR="000E41D7" w:rsidRDefault="000E41D7" w:rsidP="00D66E5F">
      <w:pPr>
        <w:spacing w:line="360" w:lineRule="auto"/>
        <w:jc w:val="right"/>
        <w:rPr>
          <w:rFonts w:ascii="Palatino Linotype" w:hAnsi="Palatino Linotype"/>
          <w:b/>
          <w:sz w:val="24"/>
          <w:szCs w:val="24"/>
        </w:rPr>
      </w:pPr>
    </w:p>
    <w:p w:rsidR="00575478" w:rsidRPr="0001046D" w:rsidRDefault="00A71441" w:rsidP="00D66E5F">
      <w:pPr>
        <w:spacing w:line="360" w:lineRule="auto"/>
        <w:jc w:val="right"/>
        <w:rPr>
          <w:rFonts w:ascii="Palatino Linotype" w:hAnsi="Palatino Linotype"/>
          <w:b/>
          <w:sz w:val="24"/>
          <w:szCs w:val="24"/>
        </w:rPr>
      </w:pPr>
      <w:bookmarkStart w:id="3" w:name="_GoBack"/>
      <w:bookmarkEnd w:id="3"/>
      <w:r>
        <w:rPr>
          <w:rFonts w:ascii="Palatino Linotype" w:hAnsi="Palatino Linotype"/>
          <w:b/>
          <w:sz w:val="24"/>
          <w:szCs w:val="24"/>
        </w:rPr>
        <w:t>JGLH/</w:t>
      </w:r>
      <w:r w:rsidR="00F90F3D">
        <w:rPr>
          <w:rFonts w:ascii="Palatino Linotype" w:hAnsi="Palatino Linotype"/>
          <w:b/>
          <w:sz w:val="24"/>
          <w:szCs w:val="24"/>
        </w:rPr>
        <w:t>JAAV</w:t>
      </w:r>
      <w:r w:rsidR="00575478">
        <w:rPr>
          <w:rFonts w:ascii="Palatino Linotype" w:hAnsi="Palatino Linotype"/>
          <w:b/>
          <w:sz w:val="24"/>
          <w:szCs w:val="24"/>
        </w:rPr>
        <w:t>.</w:t>
      </w:r>
    </w:p>
    <w:sectPr w:rsidR="00575478" w:rsidRPr="0001046D" w:rsidSect="00FA48AA">
      <w:headerReference w:type="even" r:id="rId8"/>
      <w:headerReference w:type="default" r:id="rId9"/>
      <w:footerReference w:type="even" r:id="rId10"/>
      <w:footerReference w:type="default" r:id="rId11"/>
      <w:headerReference w:type="first" r:id="rId12"/>
      <w:footerReference w:type="first" r:id="rId13"/>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3F0" w:rsidRDefault="009C73F0" w:rsidP="00E706DA">
      <w:pPr>
        <w:spacing w:after="0" w:line="240" w:lineRule="auto"/>
      </w:pPr>
      <w:r>
        <w:separator/>
      </w:r>
    </w:p>
  </w:endnote>
  <w:endnote w:type="continuationSeparator" w:id="0">
    <w:p w:rsidR="009C73F0" w:rsidRDefault="009C73F0"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600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60082">
              <w:rPr>
                <w:rFonts w:ascii="Palatino Linotype" w:hAnsi="Palatino Linotype"/>
                <w:b/>
                <w:bCs/>
                <w:noProof/>
                <w:sz w:val="20"/>
                <w:szCs w:val="20"/>
              </w:rPr>
              <w:t>11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60082">
              <w:rPr>
                <w:rFonts w:ascii="Palatino Linotype" w:hAnsi="Palatino Linotype"/>
                <w:b/>
                <w:bCs/>
                <w:noProof/>
                <w:sz w:val="20"/>
                <w:szCs w:val="20"/>
              </w:rPr>
              <w:t>11</w:t>
            </w:r>
            <w:r w:rsidRPr="0052203D">
              <w:rPr>
                <w:rFonts w:ascii="Palatino Linotype" w:hAnsi="Palatino Linotype"/>
                <w:b/>
                <w:bCs/>
                <w:sz w:val="20"/>
                <w:szCs w:val="20"/>
              </w:rPr>
              <w:fldChar w:fldCharType="end"/>
            </w:r>
          </w:p>
        </w:sdtContent>
      </w:sdt>
    </w:sdtContent>
  </w:sdt>
  <w:p w:rsidR="00951E8B" w:rsidRDefault="0046008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600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3F0" w:rsidRDefault="009C73F0" w:rsidP="00E706DA">
      <w:pPr>
        <w:spacing w:after="0" w:line="240" w:lineRule="auto"/>
      </w:pPr>
      <w:r>
        <w:separator/>
      </w:r>
    </w:p>
  </w:footnote>
  <w:footnote w:type="continuationSeparator" w:id="0">
    <w:p w:rsidR="009C73F0" w:rsidRDefault="009C73F0" w:rsidP="00E70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600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600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4600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600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202FA"/>
    <w:multiLevelType w:val="hybridMultilevel"/>
    <w:tmpl w:val="E7B816D0"/>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8"/>
  </w:num>
  <w:num w:numId="5">
    <w:abstractNumId w:val="9"/>
  </w:num>
  <w:num w:numId="6">
    <w:abstractNumId w:val="11"/>
  </w:num>
  <w:num w:numId="7">
    <w:abstractNumId w:val="14"/>
  </w:num>
  <w:num w:numId="8">
    <w:abstractNumId w:val="12"/>
  </w:num>
  <w:num w:numId="9">
    <w:abstractNumId w:val="16"/>
  </w:num>
  <w:num w:numId="10">
    <w:abstractNumId w:val="2"/>
  </w:num>
  <w:num w:numId="11">
    <w:abstractNumId w:val="15"/>
  </w:num>
  <w:num w:numId="12">
    <w:abstractNumId w:val="6"/>
  </w:num>
  <w:num w:numId="13">
    <w:abstractNumId w:val="3"/>
  </w:num>
  <w:num w:numId="14">
    <w:abstractNumId w:val="5"/>
  </w:num>
  <w:num w:numId="15">
    <w:abstractNumId w:val="13"/>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7405"/>
    <w:rsid w:val="00067CE1"/>
    <w:rsid w:val="0007397C"/>
    <w:rsid w:val="00073F0D"/>
    <w:rsid w:val="00076792"/>
    <w:rsid w:val="000951B4"/>
    <w:rsid w:val="000A77B5"/>
    <w:rsid w:val="000A7B66"/>
    <w:rsid w:val="000E41D7"/>
    <w:rsid w:val="000F6C81"/>
    <w:rsid w:val="000F6CBB"/>
    <w:rsid w:val="00105730"/>
    <w:rsid w:val="00122625"/>
    <w:rsid w:val="00181BBE"/>
    <w:rsid w:val="00194B6A"/>
    <w:rsid w:val="001D3F34"/>
    <w:rsid w:val="0020315F"/>
    <w:rsid w:val="002036ED"/>
    <w:rsid w:val="00222DD9"/>
    <w:rsid w:val="00225026"/>
    <w:rsid w:val="00260D6C"/>
    <w:rsid w:val="002620E9"/>
    <w:rsid w:val="00265990"/>
    <w:rsid w:val="00281310"/>
    <w:rsid w:val="002C1F75"/>
    <w:rsid w:val="00302832"/>
    <w:rsid w:val="00346DBD"/>
    <w:rsid w:val="00367E00"/>
    <w:rsid w:val="003705BB"/>
    <w:rsid w:val="00372DE3"/>
    <w:rsid w:val="003747A5"/>
    <w:rsid w:val="00382D3E"/>
    <w:rsid w:val="003837C2"/>
    <w:rsid w:val="003D7B9E"/>
    <w:rsid w:val="00412952"/>
    <w:rsid w:val="00413496"/>
    <w:rsid w:val="00420231"/>
    <w:rsid w:val="00424DE3"/>
    <w:rsid w:val="004303EC"/>
    <w:rsid w:val="00444048"/>
    <w:rsid w:val="00460082"/>
    <w:rsid w:val="0046491C"/>
    <w:rsid w:val="0048490F"/>
    <w:rsid w:val="004A22C2"/>
    <w:rsid w:val="004F5418"/>
    <w:rsid w:val="00532410"/>
    <w:rsid w:val="00575478"/>
    <w:rsid w:val="00581A68"/>
    <w:rsid w:val="005A3267"/>
    <w:rsid w:val="005C3F61"/>
    <w:rsid w:val="005C5850"/>
    <w:rsid w:val="005C79C8"/>
    <w:rsid w:val="005F3760"/>
    <w:rsid w:val="005F7C88"/>
    <w:rsid w:val="00634736"/>
    <w:rsid w:val="00651380"/>
    <w:rsid w:val="00664234"/>
    <w:rsid w:val="006728FD"/>
    <w:rsid w:val="00673293"/>
    <w:rsid w:val="00676175"/>
    <w:rsid w:val="006800C8"/>
    <w:rsid w:val="0069498B"/>
    <w:rsid w:val="006E1859"/>
    <w:rsid w:val="006E2606"/>
    <w:rsid w:val="006F0AC1"/>
    <w:rsid w:val="00717C0D"/>
    <w:rsid w:val="0072136B"/>
    <w:rsid w:val="00734C24"/>
    <w:rsid w:val="007376FF"/>
    <w:rsid w:val="0076241F"/>
    <w:rsid w:val="00770016"/>
    <w:rsid w:val="00771138"/>
    <w:rsid w:val="00790E37"/>
    <w:rsid w:val="007A7FAD"/>
    <w:rsid w:val="007E2CF8"/>
    <w:rsid w:val="00801F0B"/>
    <w:rsid w:val="00814E97"/>
    <w:rsid w:val="008361CA"/>
    <w:rsid w:val="00850252"/>
    <w:rsid w:val="00856FA1"/>
    <w:rsid w:val="0086185D"/>
    <w:rsid w:val="008822B3"/>
    <w:rsid w:val="00895A90"/>
    <w:rsid w:val="008B03B6"/>
    <w:rsid w:val="008C2FF2"/>
    <w:rsid w:val="008D4B3A"/>
    <w:rsid w:val="008E01AC"/>
    <w:rsid w:val="008E1779"/>
    <w:rsid w:val="008E1DCC"/>
    <w:rsid w:val="008E4128"/>
    <w:rsid w:val="008F3E81"/>
    <w:rsid w:val="00900E75"/>
    <w:rsid w:val="00902248"/>
    <w:rsid w:val="009156AC"/>
    <w:rsid w:val="00915A37"/>
    <w:rsid w:val="00937D7D"/>
    <w:rsid w:val="0094239C"/>
    <w:rsid w:val="009B4E7D"/>
    <w:rsid w:val="009C4EF6"/>
    <w:rsid w:val="009C73F0"/>
    <w:rsid w:val="00A00F35"/>
    <w:rsid w:val="00A14546"/>
    <w:rsid w:val="00A44506"/>
    <w:rsid w:val="00A63717"/>
    <w:rsid w:val="00A71441"/>
    <w:rsid w:val="00AA49F3"/>
    <w:rsid w:val="00AB023D"/>
    <w:rsid w:val="00AB126B"/>
    <w:rsid w:val="00AC381E"/>
    <w:rsid w:val="00AC4562"/>
    <w:rsid w:val="00AE4797"/>
    <w:rsid w:val="00AE550E"/>
    <w:rsid w:val="00AE58DA"/>
    <w:rsid w:val="00AF73BC"/>
    <w:rsid w:val="00B120CA"/>
    <w:rsid w:val="00B62486"/>
    <w:rsid w:val="00B865E5"/>
    <w:rsid w:val="00BC7B0C"/>
    <w:rsid w:val="00BE59B5"/>
    <w:rsid w:val="00BF3534"/>
    <w:rsid w:val="00C70D03"/>
    <w:rsid w:val="00CE0823"/>
    <w:rsid w:val="00CF71F8"/>
    <w:rsid w:val="00D150B0"/>
    <w:rsid w:val="00D30309"/>
    <w:rsid w:val="00D33AF9"/>
    <w:rsid w:val="00D363F7"/>
    <w:rsid w:val="00D66E5F"/>
    <w:rsid w:val="00D72985"/>
    <w:rsid w:val="00D7508B"/>
    <w:rsid w:val="00DA6B18"/>
    <w:rsid w:val="00DD31EB"/>
    <w:rsid w:val="00DF6F7E"/>
    <w:rsid w:val="00E305E3"/>
    <w:rsid w:val="00E30CD7"/>
    <w:rsid w:val="00E34F08"/>
    <w:rsid w:val="00E35329"/>
    <w:rsid w:val="00E6129E"/>
    <w:rsid w:val="00E61AB8"/>
    <w:rsid w:val="00E706DA"/>
    <w:rsid w:val="00E73953"/>
    <w:rsid w:val="00E83E93"/>
    <w:rsid w:val="00E90EB5"/>
    <w:rsid w:val="00E94FBF"/>
    <w:rsid w:val="00EA2C08"/>
    <w:rsid w:val="00ED288D"/>
    <w:rsid w:val="00ED57EE"/>
    <w:rsid w:val="00EF0C2D"/>
    <w:rsid w:val="00F15D8D"/>
    <w:rsid w:val="00F25783"/>
    <w:rsid w:val="00F45161"/>
    <w:rsid w:val="00F46E78"/>
    <w:rsid w:val="00F5150F"/>
    <w:rsid w:val="00F857BC"/>
    <w:rsid w:val="00F90F3D"/>
    <w:rsid w:val="00FA48AA"/>
    <w:rsid w:val="00FC16D9"/>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character" w:customStyle="1" w:styleId="SinespaciadoCar">
    <w:name w:val="Sin espaciado Car"/>
    <w:aliases w:val="Francesa Car"/>
    <w:link w:val="Sinespaciado"/>
    <w:uiPriority w:val="1"/>
    <w:locked/>
    <w:rsid w:val="00D6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64913">
      <w:bodyDiv w:val="1"/>
      <w:marLeft w:val="0"/>
      <w:marRight w:val="0"/>
      <w:marTop w:val="0"/>
      <w:marBottom w:val="0"/>
      <w:divBdr>
        <w:top w:val="none" w:sz="0" w:space="0" w:color="auto"/>
        <w:left w:val="none" w:sz="0" w:space="0" w:color="auto"/>
        <w:bottom w:val="none" w:sz="0" w:space="0" w:color="auto"/>
        <w:right w:val="none" w:sz="0" w:space="0" w:color="auto"/>
      </w:divBdr>
    </w:div>
    <w:div w:id="490608141">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868375153">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202355738">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90831871">
      <w:bodyDiv w:val="1"/>
      <w:marLeft w:val="0"/>
      <w:marRight w:val="0"/>
      <w:marTop w:val="0"/>
      <w:marBottom w:val="0"/>
      <w:divBdr>
        <w:top w:val="none" w:sz="0" w:space="0" w:color="auto"/>
        <w:left w:val="none" w:sz="0" w:space="0" w:color="auto"/>
        <w:bottom w:val="none" w:sz="0" w:space="0" w:color="auto"/>
        <w:right w:val="none" w:sz="0" w:space="0" w:color="auto"/>
      </w:divBdr>
    </w:div>
    <w:div w:id="1736395381">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121D-30F1-4FE3-8707-B869AFB8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2272</Words>
  <Characters>12496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2019-01-14T22:12:00Z</cp:lastPrinted>
  <dcterms:created xsi:type="dcterms:W3CDTF">2019-01-14T22:18:00Z</dcterms:created>
  <dcterms:modified xsi:type="dcterms:W3CDTF">2019-03-07T01:49:00Z</dcterms:modified>
</cp:coreProperties>
</file>